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22" w:type="pct"/>
        <w:tblCellSpacing w:w="60" w:type="dxa"/>
        <w:tblInd w:w="130" w:type="dxa"/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36"/>
        <w:gridCol w:w="6713"/>
      </w:tblGrid>
      <w:tr w:rsidR="005A477A" w14:paraId="7C9D6876" w14:textId="77777777">
        <w:trPr>
          <w:tblCellSpacing w:w="60" w:type="dxa"/>
        </w:trPr>
        <w:tc>
          <w:tcPr>
            <w:tcW w:w="1106" w:type="pct"/>
            <w:shd w:val="clear" w:color="auto" w:fill="E7F0F9"/>
          </w:tcPr>
          <w:p w14:paraId="1D8988B1" w14:textId="77777777" w:rsidR="005A477A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404D9D6E" w14:textId="77777777" w:rsidR="005A477A" w:rsidRDefault="00000000">
            <w:pPr>
              <w:spacing w:after="0" w:line="240" w:lineRule="auto"/>
            </w:pPr>
            <w:r>
              <w:t>OPĆINA PUNAT</w:t>
            </w:r>
          </w:p>
        </w:tc>
      </w:tr>
    </w:tbl>
    <w:p w14:paraId="3DBD7F76" w14:textId="77777777" w:rsidR="005A477A" w:rsidRDefault="00000000">
      <w:r>
        <w:br/>
      </w:r>
    </w:p>
    <w:p w14:paraId="29CFB0CE" w14:textId="77777777" w:rsidR="005A477A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1FBE87A2" w14:textId="77777777" w:rsidR="005A477A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6B661F8D" w14:textId="77777777" w:rsidR="005A477A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47D54BEC" w14:textId="77777777" w:rsidR="005A477A" w:rsidRDefault="005A477A"/>
    <w:p w14:paraId="5CCE858F" w14:textId="77777777" w:rsidR="005A477A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79E69D35" w14:textId="77777777" w:rsidR="005A477A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p w14:paraId="1F29E76D" w14:textId="77777777" w:rsidR="005A477A" w:rsidRDefault="005A477A">
      <w:pPr>
        <w:spacing w:after="0"/>
      </w:pPr>
    </w:p>
    <w:p w14:paraId="25A00D1A" w14:textId="77777777" w:rsidR="005A477A" w:rsidRDefault="00000000">
      <w:pPr>
        <w:spacing w:line="240" w:lineRule="auto"/>
        <w:jc w:val="both"/>
      </w:pPr>
      <w:r>
        <w:t>Ukupni prihodi i primici Općine Punat ostvareni u razdoblju od 1. siječnja do 31. prosinca 2025. godine iznosili su 3.743.740,66 €, odnosno 2% ili 72.961,08 € više nego prethodne 2024. godine u istom razdoblju. Na pad prihoda poslovanja u promatranom razdoblju najvećim je dijelom utjecalo umanjenje prihoda od poreza na imovinu, prihoda od nefinancijske imovine, prihoda od kazni i upravnih mjera i ostalih prihoda, dok su prihodi od prodaje nefinancijske imovine uvećani za 1.602,8% €. Ukupni rashodi i izdaci su iznosili 3.630.121,32 € što je za 12% ili 497.222,19 € manje rashoda nego prošle godine. Rashodi poslovanja su rasli, a na to je najviše utjecalo povećanje rashoda za plaće i doprinose zaposlenika, rashoda za usluge, subvencije te ostalu nematerijalnu proizvedenu imovinu. Rashodi za nabavu nefinancijske imovine umanjeni su za 54,1%. Ostvaren je višak prihoda u iznosu od 113.619,34 €. Manjak prihoda iz prethodnog razdoblja iznosi 17.569,84 €, tako da se u sljedeće razdoblje prenosi višak u iznosu od 96.049,50 €.</w:t>
      </w:r>
      <w:r>
        <w:br/>
      </w:r>
    </w:p>
    <w:p w14:paraId="08236362" w14:textId="77777777" w:rsidR="005A477A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p w14:paraId="50A85E46" w14:textId="77777777" w:rsidR="005A477A" w:rsidRDefault="00000000">
      <w:pPr>
        <w:spacing w:after="0"/>
        <w:rPr>
          <w:b/>
          <w:bCs/>
        </w:rPr>
      </w:pPr>
      <w:r>
        <w:rPr>
          <w:b/>
          <w:bCs/>
        </w:rPr>
        <w:t>6</w:t>
      </w:r>
      <w:r>
        <w:rPr>
          <w:b/>
          <w:bCs/>
        </w:rPr>
        <w:tab/>
        <w:t>PRIHODI POSLOVANJA (šifre 61+62+63+64+65+66+67+68)</w:t>
      </w:r>
    </w:p>
    <w:p w14:paraId="66357BB1" w14:textId="77777777" w:rsidR="005A477A" w:rsidRDefault="00000000">
      <w:pPr>
        <w:spacing w:line="240" w:lineRule="auto"/>
        <w:jc w:val="both"/>
        <w:rPr>
          <w:highlight w:val="yellow"/>
        </w:rPr>
      </w:pPr>
      <w:r>
        <w:t>Prihodi poslovanja Općine Punat ostvareni u razdoblju od 1. siječnja od 31. prosinca 2025. godine iznosili su 3.593.195,12 €, odnosno 1,9% ili 68.743,28 € manje nego prethodne 2024. godine. Na pad prihoda poslovanja u promatranom razdoblju najvećim je dijelom utjecalo umanjenje prihoda od poreza na imovinu, prihoda od nefinancijske imovine, prihoda od kazni i upravnih mjera i ostalih prihoda.</w:t>
      </w:r>
    </w:p>
    <w:p w14:paraId="2CD73475" w14:textId="77777777" w:rsidR="005A477A" w:rsidRDefault="005A477A"/>
    <w:p w14:paraId="57042958" w14:textId="77777777" w:rsidR="005A477A" w:rsidRDefault="00000000">
      <w:pPr>
        <w:keepNext/>
        <w:spacing w:line="240" w:lineRule="auto"/>
        <w:jc w:val="center"/>
      </w:pPr>
      <w:r>
        <w:t>Bilješka 3.</w:t>
      </w:r>
    </w:p>
    <w:p w14:paraId="55B301B0" w14:textId="77777777" w:rsidR="005A477A" w:rsidRDefault="00000000">
      <w:pPr>
        <w:keepNext/>
        <w:numPr>
          <w:ilvl w:val="0"/>
          <w:numId w:val="1"/>
        </w:numPr>
        <w:spacing w:line="240" w:lineRule="auto"/>
        <w:rPr>
          <w:b/>
          <w:bCs/>
        </w:rPr>
      </w:pPr>
      <w:r>
        <w:rPr>
          <w:b/>
          <w:bCs/>
        </w:rPr>
        <w:t>Porez na dohodak (šifre 6111 do 6116 - 6117 - 6119)</w:t>
      </w:r>
    </w:p>
    <w:p w14:paraId="4F54AC48" w14:textId="77777777" w:rsidR="005A477A" w:rsidRDefault="00000000">
      <w:pPr>
        <w:keepNext/>
        <w:spacing w:line="240" w:lineRule="auto"/>
      </w:pPr>
      <w:r>
        <w:t xml:space="preserve">Prihodi od poreza na dohodak u razdoblju od 1. siječnja do 30. lipnja 2025. godine ostvareni su u iznosu od 1.430.977,57 €, odnosno 9,6% ili 124.982,40 € više u odnosu na iste prihode ostvarene u promatranom razdoblju 2024. godine. Na rast prihoda od poreza na dohodak je najviše utjecalo uvećanje prihoda od poreza na dohodak od nesamostalnog rada ostvarenih u iznosu od 875.810,35 €, odnosno 14,3% ili 109.549,36 € više u odnosu na ostvarenje u istom razdoblju 2024. godine, kao i povećanje prihoda od poreza na dohodak od samostalnih djelatnosti ostvarenih u iznosu od 162.894,79 € što je više za 13,3% ili 19.124,02 €, prihoda </w:t>
      </w:r>
      <w:r>
        <w:lastRenderedPageBreak/>
        <w:t xml:space="preserve">od poreza na dohodak od imovine i imovinskih prava ostvarenih u iznosu od 191.636,12 €, odnosno 45,8% ili 60.157,58 € više, prihoda od poreza na dohodak od kapitala ostvarenih u iznosu od 222.291,12 € što je više za 0,9% ili 1.888,56 €,  prihoda od poreza na dohodak po godišnjoj prijavi ostvarenih u iznosu od 102.197,39 €, odnosno 131,8% ili 58.115,08 € više nego prošle godine. Prihodi od povrata poreza na dohodak po godišnjoj prijavi ostvaren je u iznosu od 123.852,20 € te nije zabilježen u istom razdoblju 2024. godine. </w:t>
      </w:r>
    </w:p>
    <w:p w14:paraId="7E621CD8" w14:textId="77777777" w:rsidR="005A477A" w:rsidRDefault="005A477A">
      <w:pPr>
        <w:keepNext/>
        <w:spacing w:line="240" w:lineRule="auto"/>
      </w:pPr>
    </w:p>
    <w:p w14:paraId="14F990BE" w14:textId="77777777" w:rsidR="005A477A" w:rsidRDefault="00000000">
      <w:pPr>
        <w:keepNext/>
        <w:spacing w:line="240" w:lineRule="auto"/>
        <w:jc w:val="center"/>
      </w:pPr>
      <w:r>
        <w:t>Bilješka 4.</w:t>
      </w:r>
    </w:p>
    <w:p w14:paraId="45328FAE" w14:textId="77777777" w:rsidR="005A477A" w:rsidRDefault="00000000">
      <w:pPr>
        <w:keepNext/>
        <w:spacing w:line="240" w:lineRule="auto"/>
        <w:rPr>
          <w:b/>
          <w:bCs/>
        </w:rPr>
      </w:pPr>
      <w:r>
        <w:rPr>
          <w:b/>
          <w:bCs/>
        </w:rPr>
        <w:t>613 Porezi na imovinu (šifre 6131 do 6135)</w:t>
      </w:r>
    </w:p>
    <w:p w14:paraId="3FBEEB11" w14:textId="77777777" w:rsidR="005A477A" w:rsidRDefault="00000000">
      <w:pPr>
        <w:keepNext/>
        <w:spacing w:line="240" w:lineRule="auto"/>
      </w:pPr>
      <w:r>
        <w:t>Prihodi od poreza na dohodak u razdoblju od 1. siječnja do 31. prosinca 2025. godine ostvareni su u iznosu od 576.597,28 €, odnosno 18,3% ili 129.063,58 € manje u odnosu na iste prihode ostvarene u promatranom razdoblju 2024. godine. Na pad prihoda od poreza na imovinu utjecao je umanjenje prihoda stalnih poreza na nepokretnu imovinu (zemlju, zgrade, kuće i ostalo) koji su umanjeni za 18,9% ili 165.138,29 € i odnose se na porez na nekretnine, porez na kuće za odmor i porez na korištenje javnih površina; zatim umanjenje prihoda od povremenih poreza na imovinu, odnosno poreza na promet nekretnina koji je ostvaren u iznosu od 411.458,99 €, odnosno 18% ili 90.593,96 € manje nego istog razdoblja 2024. godine. Porez na promet proizvoda i usluga ostvaren je u iznosu od 100.132,13 €, odnosno 10,7% ili 9.684,09 € više nego prošle godine, dok su prihodi od poreza na korištenje dobara ili izvođenje aktivnosti (porez na tvrtku, odnosno naziv tvrtke) ostvareni u iznosu od 79,63€ i isti nisu bili zabilježeni u promatranom razdoblju 2024. godine.</w:t>
      </w:r>
    </w:p>
    <w:p w14:paraId="1A4CB163" w14:textId="77777777" w:rsidR="005A477A" w:rsidRDefault="005A477A">
      <w:pPr>
        <w:keepNext/>
        <w:spacing w:line="240" w:lineRule="auto"/>
      </w:pPr>
    </w:p>
    <w:p w14:paraId="0B3DDE03" w14:textId="77777777" w:rsidR="005A477A" w:rsidRDefault="00000000">
      <w:pPr>
        <w:keepNext/>
        <w:spacing w:line="240" w:lineRule="auto"/>
        <w:jc w:val="center"/>
      </w:pPr>
      <w:r>
        <w:t>Bilješka 5.</w:t>
      </w:r>
    </w:p>
    <w:p w14:paraId="5F7AD1A9" w14:textId="77777777" w:rsidR="005A477A" w:rsidRDefault="00000000">
      <w:pPr>
        <w:numPr>
          <w:ilvl w:val="0"/>
          <w:numId w:val="2"/>
        </w:numPr>
        <w:spacing w:line="240" w:lineRule="auto"/>
        <w:jc w:val="both"/>
        <w:rPr>
          <w:b/>
          <w:bCs/>
        </w:rPr>
      </w:pPr>
      <w:r>
        <w:rPr>
          <w:b/>
          <w:bCs/>
        </w:rPr>
        <w:t>Pomoći od međunarodnih organizacija te institucija i tijela EU (šifre 6321 do 6324)</w:t>
      </w:r>
    </w:p>
    <w:p w14:paraId="05CA1F8F" w14:textId="3B92D4C8" w:rsidR="005A477A" w:rsidRDefault="00000000">
      <w:pPr>
        <w:spacing w:line="240" w:lineRule="auto"/>
        <w:jc w:val="both"/>
      </w:pPr>
      <w:r>
        <w:t>Prihodi od navedenih pomoći u razdoblju od 1. siječnja do 31. prosinca 2025. godine ostvareni su u iznosu od 85.470,52 €, odnosno 258,2% ili 61.609,02 € više nego prošle godine. Odnose se na kapitalne pomoći od institucija i tijela EU.</w:t>
      </w:r>
      <w:r w:rsidR="00443137">
        <w:t xml:space="preserve"> </w:t>
      </w:r>
      <w:r w:rsidR="00F977D9" w:rsidRPr="00F977D9">
        <w:t xml:space="preserve">Iznos od </w:t>
      </w:r>
      <w:r w:rsidR="00F977D9" w:rsidRPr="00BB0263">
        <w:t>80.515,82 €</w:t>
      </w:r>
      <w:r w:rsidR="00F977D9" w:rsidRPr="00F977D9">
        <w:t xml:space="preserve"> odnosi se na odobrena i doznačena bespovratna sredstva temeljem Ugovora o dodjeli bespovratnih sredstava za projekte koji se financiraju iz Integriranog teritorijalnog programa za financijsko razdoblje 2021. – 2027., a koja se odnose na projekt </w:t>
      </w:r>
      <w:r w:rsidR="00F977D9" w:rsidRPr="00F977D9">
        <w:rPr>
          <w:i/>
          <w:iCs/>
        </w:rPr>
        <w:t>Kulturni centar</w:t>
      </w:r>
      <w:r w:rsidR="00BB0263">
        <w:rPr>
          <w:i/>
          <w:iCs/>
        </w:rPr>
        <w:t xml:space="preserve"> Punat</w:t>
      </w:r>
      <w:r w:rsidR="00F977D9" w:rsidRPr="00F977D9">
        <w:t>.</w:t>
      </w:r>
      <w:r w:rsidR="00F977D9">
        <w:t xml:space="preserve"> </w:t>
      </w:r>
      <w:r w:rsidR="00F977D9" w:rsidRPr="00F977D9">
        <w:t>Sredstva su odobrena za financiranje troškova izrade projektno-tehničke dokumentacije</w:t>
      </w:r>
      <w:r w:rsidR="00F977D9">
        <w:t xml:space="preserve">, </w:t>
      </w:r>
      <w:r w:rsidR="00BB0263">
        <w:t xml:space="preserve">čiji su troškovi nastali </w:t>
      </w:r>
      <w:r w:rsidR="00BB0263" w:rsidRPr="00BB0263">
        <w:t>u razdoblju od 2022. do 2025. godine, u ukupnom iznosu od 87.137,00 €</w:t>
      </w:r>
      <w:r w:rsidR="00BB0263">
        <w:t xml:space="preserve">. </w:t>
      </w:r>
    </w:p>
    <w:p w14:paraId="3629584A" w14:textId="77777777" w:rsidR="005A477A" w:rsidRDefault="005A477A">
      <w:pPr>
        <w:keepNext/>
        <w:spacing w:line="240" w:lineRule="auto"/>
      </w:pPr>
    </w:p>
    <w:p w14:paraId="6B2CD038" w14:textId="77777777" w:rsidR="005A477A" w:rsidRDefault="00000000">
      <w:pPr>
        <w:keepNext/>
        <w:spacing w:line="240" w:lineRule="auto"/>
        <w:jc w:val="center"/>
      </w:pPr>
      <w:r>
        <w:t>Bilješka 6.</w:t>
      </w:r>
    </w:p>
    <w:p w14:paraId="313CDD2B" w14:textId="77777777" w:rsidR="005A477A" w:rsidRDefault="00000000">
      <w:pPr>
        <w:numPr>
          <w:ilvl w:val="0"/>
          <w:numId w:val="3"/>
        </w:numPr>
        <w:spacing w:line="240" w:lineRule="auto"/>
        <w:jc w:val="both"/>
        <w:rPr>
          <w:b/>
          <w:bCs/>
        </w:rPr>
      </w:pPr>
      <w:r>
        <w:rPr>
          <w:b/>
          <w:bCs/>
        </w:rPr>
        <w:t>Pomoći temeljem prijenosa EU sredstava (šifre 6381+6382)</w:t>
      </w:r>
    </w:p>
    <w:p w14:paraId="06FD98F6" w14:textId="77777777" w:rsidR="005A477A" w:rsidRDefault="00000000">
      <w:pPr>
        <w:spacing w:line="240" w:lineRule="auto"/>
        <w:jc w:val="both"/>
      </w:pPr>
      <w:r>
        <w:t xml:space="preserve">Prihodi od pomoći u razdoblju od 1. siječnja do 31. prosinca 2025. godine ostvareni su u iznosu od 45.790,30 €, odnosno 59% ili 16.989,45 € više u odnosu na prihode od pomoći ostvarene u istom razdoblju 2024. godine. Odnose se na kapitalne pomoći temeljem prijenosa EU sredstava. </w:t>
      </w:r>
    </w:p>
    <w:p w14:paraId="49E1BCC7" w14:textId="77777777" w:rsidR="005A477A" w:rsidRDefault="005A477A"/>
    <w:p w14:paraId="74140CF6" w14:textId="77777777" w:rsidR="005A477A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p w14:paraId="40421E12" w14:textId="77777777" w:rsidR="005A477A" w:rsidRDefault="00000000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>Prihodi od nefinancijske imovine (šifre 6421 do 6429)</w:t>
      </w:r>
    </w:p>
    <w:p w14:paraId="4388772C" w14:textId="77777777" w:rsidR="005A477A" w:rsidRDefault="00000000">
      <w:r>
        <w:lastRenderedPageBreak/>
        <w:t xml:space="preserve">Prihodi od nefinancijske imovine u razdoblju od 1. siječnja do 31. prosinca 2025. godine ostvareni su u iznosu od 365.958,72 €, odnosno 21% ili 97.423,44 € manje u odnosu na iste prihode ostvarene u promatranom razdoblju 2024. godine. Na pad prihoda najviše je utjecalo umanjenje prihoda od naknade za koncesije (naknade za dozvole na pomorskom dobru i ostale koncesije) ostvarenih u iznosu od 146.849,19 €, odnosno 35,5% ili 80.876,09 € manje nego prošle godine; prihoda od zakupa i iznajmljivanja imovine (zakup zemljišta, najam grobnog mjesta, terase, parkirališta, javnih površina za uspostavu reklamnih transparenata, zakup poslovnih objekata) ostvarenih u iznosu od 199.815,07 €, odnosno 7,8% ili 16.927,03 € manje u odnosu na isto razdoblje 2024. godine, dok su prihodi od naknade za korištenje nefinancijske imovine (naknada za EKI-HT služnost, naknada za promjenu namjene poljoprivrednog zemljišta, spomenička renta) ostvareni u iznosu od 19.077,17 €, odnosno za 2% ili 379,68 € više u odnosu na prošlu godinu. </w:t>
      </w:r>
    </w:p>
    <w:p w14:paraId="6550BCA2" w14:textId="77777777" w:rsidR="005A477A" w:rsidRDefault="005A477A"/>
    <w:p w14:paraId="65617109" w14:textId="77777777" w:rsidR="005A477A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p w14:paraId="663A4C78" w14:textId="77777777" w:rsidR="005A477A" w:rsidRDefault="00000000">
      <w:pPr>
        <w:spacing w:line="240" w:lineRule="auto"/>
        <w:jc w:val="both"/>
        <w:rPr>
          <w:b/>
          <w:bCs/>
        </w:rPr>
      </w:pPr>
      <w:r>
        <w:rPr>
          <w:b/>
          <w:bCs/>
        </w:rPr>
        <w:t>652 Prihodi po posebnim propisima (šifre 6521 do 6528)</w:t>
      </w:r>
    </w:p>
    <w:p w14:paraId="65948E81" w14:textId="77777777" w:rsidR="005A477A" w:rsidRDefault="00000000">
      <w:pPr>
        <w:spacing w:line="240" w:lineRule="auto"/>
        <w:jc w:val="both"/>
      </w:pPr>
      <w:r>
        <w:t>Prihodi po posebnim propisima u razdoblju od 1. siječnja do 31. prosinca 2025. godine ostvareni su u iznosu od 16.585,61 €, odnosno 17,1% ili 2.422,06 € više u odnosu na iste prihode ostvarene u promatranom razdoblju 2024. godine. Na rast navedenih prihoda najviše je utjecalo uvećanje ostalih nespomenutih prihoda koji su ostvareni u iznosu od 16.284,18 €, odnosno 16,2% ili 2.269,53 € više u odnosu na isto razdoblje prošle godine, a odnose se na prihode po posebnim propisima-POS, prihode od prodaje zemljišta u vlasništvu države, kao i uvećanje prihoda od vodnih doprinosa koji su ostvareni u iznosu od 301,43 €, odnosno 102,4% ili 152,53 € više u odnosu na 2024. godinu.</w:t>
      </w:r>
    </w:p>
    <w:p w14:paraId="0F2BCED2" w14:textId="77777777" w:rsidR="005A477A" w:rsidRDefault="005A477A"/>
    <w:p w14:paraId="1EAA0D9B" w14:textId="77777777" w:rsidR="005A477A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p w14:paraId="7CD8B970" w14:textId="77777777" w:rsidR="005A477A" w:rsidRDefault="00000000">
      <w:pPr>
        <w:numPr>
          <w:ilvl w:val="0"/>
          <w:numId w:val="5"/>
        </w:numPr>
        <w:spacing w:line="240" w:lineRule="auto"/>
        <w:jc w:val="both"/>
        <w:rPr>
          <w:b/>
          <w:bCs/>
        </w:rPr>
      </w:pPr>
      <w:r>
        <w:rPr>
          <w:b/>
          <w:bCs/>
        </w:rPr>
        <w:t>Kazne i upravne mjere (šifre 6811 do 6819)</w:t>
      </w:r>
    </w:p>
    <w:p w14:paraId="214EFE7E" w14:textId="77777777" w:rsidR="005A477A" w:rsidRDefault="00000000">
      <w:pPr>
        <w:spacing w:line="240" w:lineRule="auto"/>
        <w:jc w:val="both"/>
      </w:pPr>
      <w:r>
        <w:t xml:space="preserve">Prihodi od ostalih nespomenutih kazna u razdoblju od 1. siječnja do 31. prosinca 2025. godine ostvareni su u iznosu od 841,81 €, odnosno 91,6% ili 9.192,50 € manje u odnosu na iste prihode ostvarene u promatranom razdoblju 2024. godine. </w:t>
      </w:r>
    </w:p>
    <w:p w14:paraId="6E85E48A" w14:textId="77777777" w:rsidR="005A477A" w:rsidRDefault="005A477A">
      <w:pPr>
        <w:spacing w:line="240" w:lineRule="auto"/>
        <w:jc w:val="both"/>
      </w:pPr>
    </w:p>
    <w:p w14:paraId="219D67E3" w14:textId="77777777" w:rsidR="005A477A" w:rsidRDefault="00000000">
      <w:pPr>
        <w:spacing w:line="240" w:lineRule="auto"/>
        <w:jc w:val="center"/>
      </w:pPr>
      <w:r>
        <w:t>Bilješka 10.</w:t>
      </w:r>
    </w:p>
    <w:p w14:paraId="2EA73CB8" w14:textId="77777777" w:rsidR="005A477A" w:rsidRDefault="00000000">
      <w:pPr>
        <w:numPr>
          <w:ilvl w:val="0"/>
          <w:numId w:val="6"/>
        </w:numPr>
        <w:spacing w:line="240" w:lineRule="auto"/>
        <w:jc w:val="both"/>
        <w:rPr>
          <w:b/>
          <w:bCs/>
        </w:rPr>
      </w:pPr>
      <w:r>
        <w:rPr>
          <w:b/>
          <w:bCs/>
        </w:rPr>
        <w:t>Ostali prihodi</w:t>
      </w:r>
    </w:p>
    <w:p w14:paraId="60D11CBC" w14:textId="77777777" w:rsidR="005A477A" w:rsidRDefault="00000000">
      <w:pPr>
        <w:spacing w:line="240" w:lineRule="auto"/>
        <w:jc w:val="both"/>
      </w:pPr>
      <w:r>
        <w:t>Ostali prihodi u razdoblju od 1. siječnja do 31. prosinca 2025. godine ostvareni su u iznosu od 23.703,62 €, odnosno 29,7% ili 9.993,37 € manje u odnosu na iste prihode ostvarene u promatranom razdoblju 2024. godine. Na pad ostalih prihoda je utjecalo umanjenje prihoda od raznih refundacija i prihoda od sportske dvorane.</w:t>
      </w:r>
    </w:p>
    <w:p w14:paraId="5148337C" w14:textId="77777777" w:rsidR="005A477A" w:rsidRDefault="005A477A">
      <w:pPr>
        <w:spacing w:line="240" w:lineRule="auto"/>
        <w:jc w:val="both"/>
      </w:pPr>
    </w:p>
    <w:p w14:paraId="59EBF80F" w14:textId="77777777" w:rsidR="005A477A" w:rsidRDefault="00000000">
      <w:pPr>
        <w:keepNext/>
        <w:spacing w:line="240" w:lineRule="auto"/>
        <w:jc w:val="center"/>
        <w:rPr>
          <w:sz w:val="28"/>
        </w:rPr>
      </w:pPr>
      <w:r>
        <w:rPr>
          <w:sz w:val="28"/>
        </w:rPr>
        <w:lastRenderedPageBreak/>
        <w:t>Bilješka 11.</w:t>
      </w:r>
    </w:p>
    <w:p w14:paraId="4C983363" w14:textId="77777777" w:rsidR="005A477A" w:rsidRDefault="00000000">
      <w:pPr>
        <w:keepNext/>
        <w:numPr>
          <w:ilvl w:val="0"/>
          <w:numId w:val="7"/>
        </w:numPr>
        <w:spacing w:line="240" w:lineRule="auto"/>
        <w:rPr>
          <w:b/>
          <w:bCs/>
        </w:rPr>
      </w:pPr>
      <w:r>
        <w:rPr>
          <w:b/>
          <w:bCs/>
        </w:rPr>
        <w:t>Prihodi od prodaje nefinancijske imovine (šifre 71+72+73+74)</w:t>
      </w:r>
    </w:p>
    <w:p w14:paraId="05F831F0" w14:textId="77777777" w:rsidR="005A477A" w:rsidRDefault="00000000">
      <w:pPr>
        <w:keepNext/>
        <w:spacing w:line="240" w:lineRule="auto"/>
      </w:pPr>
      <w:r>
        <w:t>Prihodi od prodaje nefinancijske imovine u razdoblju od 1. siječnja do 31. prosinca 2025. godine ostvareni su u iznosu od 150.545,54 €, odnosno 1.602,8% ili 141.704,36 € više u odnosu na iste prihode ostvarene u promatranom razdoblju 2024. godine. Na rast prihoda su utjecali prihod od prodaje građevinskih zemljišta u iznosu od 150.487,44 € i prihod od prodaje stambenih objekata u iznosu od 58,10 €.</w:t>
      </w:r>
    </w:p>
    <w:p w14:paraId="1DA076EB" w14:textId="77777777" w:rsidR="005A477A" w:rsidRDefault="005A477A">
      <w:pPr>
        <w:keepNext/>
        <w:spacing w:line="240" w:lineRule="auto"/>
      </w:pPr>
    </w:p>
    <w:p w14:paraId="2FFEC7B9" w14:textId="77777777" w:rsidR="005A477A" w:rsidRDefault="005A477A">
      <w:pPr>
        <w:keepNext/>
        <w:spacing w:line="240" w:lineRule="auto"/>
      </w:pPr>
    </w:p>
    <w:p w14:paraId="5C40E071" w14:textId="77777777" w:rsidR="005A477A" w:rsidRDefault="00000000">
      <w:pPr>
        <w:keepNext/>
        <w:spacing w:line="240" w:lineRule="auto"/>
        <w:jc w:val="center"/>
      </w:pPr>
      <w:r>
        <w:t>Bilješka 12.</w:t>
      </w:r>
    </w:p>
    <w:p w14:paraId="3FEF3FE5" w14:textId="77777777" w:rsidR="005A477A" w:rsidRDefault="00000000">
      <w:pPr>
        <w:spacing w:after="0"/>
      </w:pPr>
      <w:r>
        <w:rPr>
          <w:b/>
          <w:bCs/>
        </w:rPr>
        <w:t>3</w:t>
      </w:r>
      <w:r>
        <w:rPr>
          <w:b/>
          <w:bCs/>
        </w:rPr>
        <w:tab/>
        <w:t>RASHODI POSLOVANJA (šifre 31+32+34+35+36+37+38)</w:t>
      </w:r>
      <w:r>
        <w:t xml:space="preserve"> </w:t>
      </w:r>
    </w:p>
    <w:p w14:paraId="5872FCCC" w14:textId="77777777" w:rsidR="005A477A" w:rsidRDefault="00000000">
      <w:pPr>
        <w:spacing w:line="240" w:lineRule="auto"/>
        <w:jc w:val="both"/>
        <w:rPr>
          <w:highlight w:val="yellow"/>
        </w:rPr>
      </w:pPr>
      <w:r>
        <w:t>Rashodi poslovanja Općine Punat ostvareni u razdoblju od 1. siječnja od 31. prosinca 2025. godine ostvareni su u iznosu od 2.788.498,10 €, odnosno 3,1% ili 85.073,21 € više nego prethodne 2024. godine. Na rast rashoda poslovanja je najviše utjecalo povećanje rashoda za plaće i doprinose zaposlenika, rashoda za usluge, subvencije te ostalu nematerijalnu proizvedenu imovinu.</w:t>
      </w:r>
    </w:p>
    <w:p w14:paraId="4E58F853" w14:textId="77777777" w:rsidR="005A477A" w:rsidRDefault="005A477A">
      <w:pPr>
        <w:spacing w:line="240" w:lineRule="auto"/>
        <w:jc w:val="both"/>
        <w:rPr>
          <w:highlight w:val="yellow"/>
        </w:rPr>
      </w:pPr>
    </w:p>
    <w:p w14:paraId="463B564D" w14:textId="77777777" w:rsidR="005A477A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p w14:paraId="6D6AB31E" w14:textId="77777777" w:rsidR="005A477A" w:rsidRDefault="00000000">
      <w:pPr>
        <w:spacing w:after="0"/>
        <w:rPr>
          <w:b/>
          <w:bCs/>
        </w:rPr>
      </w:pPr>
      <w:r>
        <w:rPr>
          <w:b/>
          <w:bCs/>
        </w:rPr>
        <w:t>311</w:t>
      </w:r>
      <w:r>
        <w:rPr>
          <w:b/>
          <w:bCs/>
        </w:rPr>
        <w:tab/>
        <w:t xml:space="preserve">Plaće (bruto) (šifre 3111 do 3114) </w:t>
      </w:r>
    </w:p>
    <w:p w14:paraId="31667C5C" w14:textId="77777777" w:rsidR="005A477A" w:rsidRDefault="00000000">
      <w:pPr>
        <w:spacing w:line="240" w:lineRule="auto"/>
        <w:jc w:val="both"/>
      </w:pPr>
      <w:r>
        <w:t>Rashodi za plaće zaposlenika u razdoblju od 1. siječnja do 31. prosinca 2025. godine ostvareni su u iznosu od 329.470,50 €, odnosno 10,4% ili 30.994,05 € više u odnosu na rashode za plaće ostvarene u istom razdoblju 2024. godine. Na rast u promatranom razdoblju najvećim je dijelom utjecalo uvećanje rashoda za plaće za redovan rad zbog povećanja osnovice za izračun plaće.</w:t>
      </w:r>
    </w:p>
    <w:p w14:paraId="43BDB601" w14:textId="77777777" w:rsidR="005A477A" w:rsidRDefault="005A477A">
      <w:pPr>
        <w:spacing w:line="240" w:lineRule="auto"/>
        <w:jc w:val="both"/>
      </w:pPr>
    </w:p>
    <w:p w14:paraId="5FFC235F" w14:textId="77777777" w:rsidR="005A477A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p w14:paraId="66E5D9A3" w14:textId="77777777" w:rsidR="005A477A" w:rsidRDefault="00000000">
      <w:pPr>
        <w:spacing w:after="0"/>
        <w:rPr>
          <w:b/>
          <w:bCs/>
        </w:rPr>
      </w:pPr>
      <w:r>
        <w:rPr>
          <w:b/>
          <w:bCs/>
        </w:rPr>
        <w:t>322</w:t>
      </w:r>
      <w:r>
        <w:rPr>
          <w:b/>
          <w:bCs/>
        </w:rPr>
        <w:tab/>
        <w:t>Rashodi za materijal i energiju (šifre 3221 do 3227)</w:t>
      </w:r>
    </w:p>
    <w:p w14:paraId="1ADB3229" w14:textId="77777777" w:rsidR="005A477A" w:rsidRDefault="00000000">
      <w:pPr>
        <w:spacing w:line="240" w:lineRule="auto"/>
        <w:jc w:val="both"/>
      </w:pPr>
      <w:r>
        <w:t>Rashodi za materijal i energiju u razdoblju od 1. siječnja do 31. prosinca 2025. godine ostvareni su u iznosu od 53.711,38 €, odnosno 25,4% ili 18.299,00 € manje u odnosu na iste rashode ostvarene u promatranom razdoblju 2024. godine. Na pad rashoda za materijal i energiju utjecalo je umanjenje rashoda za uredski materijal i ostali materijalni rashodi (materijal za potrebe redovnog poslovanja, uredski i arhivski materijal, literatura, materijal za čišćenje i održavanje) koji su ostvareni za 57,8% , odnosno 19.133,56 € manje u odnosu na ostvarenje u istom razdoblju 2024. godine, dok su rashodi za energiju (električna energija, električna energija za javnu rasvjetu i poslovne prostore) ostvareni za 6 % ili 2.266,19 € više nego prethodne 2024. godine.</w:t>
      </w:r>
    </w:p>
    <w:p w14:paraId="6620109B" w14:textId="77777777" w:rsidR="005A477A" w:rsidRDefault="005A477A"/>
    <w:p w14:paraId="7729EF9C" w14:textId="77777777" w:rsidR="005A477A" w:rsidRDefault="00000000">
      <w:pPr>
        <w:jc w:val="center"/>
      </w:pPr>
      <w:r>
        <w:t>Bilješka 15.</w:t>
      </w:r>
    </w:p>
    <w:p w14:paraId="1EDA23B1" w14:textId="77777777" w:rsidR="005A477A" w:rsidRDefault="00000000">
      <w:pPr>
        <w:spacing w:after="0"/>
        <w:rPr>
          <w:b/>
          <w:bCs/>
        </w:rPr>
      </w:pPr>
      <w:r>
        <w:rPr>
          <w:b/>
          <w:bCs/>
        </w:rPr>
        <w:t>323</w:t>
      </w:r>
      <w:r>
        <w:rPr>
          <w:b/>
          <w:bCs/>
        </w:rPr>
        <w:tab/>
        <w:t>Rashodi za usluge (šifre 3231 do 3239)</w:t>
      </w:r>
    </w:p>
    <w:p w14:paraId="3198060F" w14:textId="77777777" w:rsidR="005A477A" w:rsidRDefault="00000000">
      <w:pPr>
        <w:spacing w:line="240" w:lineRule="auto"/>
        <w:jc w:val="both"/>
      </w:pPr>
      <w:r>
        <w:t xml:space="preserve">Rashodi za usluge u razdoblju od 1. siječnja do 31. prosinca 2025. godine ostvareni su u iznosu od 981.392,83 €, odnosno 12,6% ili 109.515,69 € više u odnosu na iste rashode ostvarene u </w:t>
      </w:r>
      <w:r>
        <w:lastRenderedPageBreak/>
        <w:t>promatranom razdoblju 2024. godine. Na rast rashoda za usluge utjecalo je uvećanje rashoda  za usluge telefona, poštarine i ostalih usluga za komunikaciju i prijevoz za 21,1% ili 4.894,67 €, usluge tekućeg i investicijskog održavanja postrojenja i opreme, građevinskih objekata za 29,1% ili 62.318,12 €, uvećanje rashoda za komunalne usluge (naknada za deponij Treskavac i ostale komunalne usluge, deratizacija i dezinsekcija, iznošenje i odvoz smeća, pričuva, opskrba vodom) za 16,1% ili 60.576,42 €, uvećanje računalnih usluga za 10,7% ili 6.570,53 € te ostale nespomenutih usluga, usluga čišćenja i pranja (ŠSD), usluga pri registraciji prijevoznih sredstava, grafičkih i tiskarskih usluga za 13,4% ili 3.273,17 €. Umanjeni su rashodi za usluge promidžbe i informiranja za 16,6%,  zakupnine i najmnine za 35,1%, te rashodi za intelektualne i osobne usluge za 9,6%  u odnosu na 2024. godinu.</w:t>
      </w:r>
    </w:p>
    <w:p w14:paraId="302D2F3D" w14:textId="77777777" w:rsidR="005A477A" w:rsidRDefault="005A477A"/>
    <w:p w14:paraId="5079FD11" w14:textId="77777777" w:rsidR="005A477A" w:rsidRDefault="00000000">
      <w:pPr>
        <w:jc w:val="center"/>
      </w:pPr>
      <w:r>
        <w:t>Bilješka 16.</w:t>
      </w:r>
    </w:p>
    <w:p w14:paraId="72EE6112" w14:textId="77777777" w:rsidR="005A477A" w:rsidRDefault="00000000">
      <w:pPr>
        <w:numPr>
          <w:ilvl w:val="0"/>
          <w:numId w:val="8"/>
        </w:numPr>
        <w:rPr>
          <w:b/>
          <w:bCs/>
        </w:rPr>
      </w:pPr>
      <w:r>
        <w:rPr>
          <w:b/>
          <w:bCs/>
        </w:rPr>
        <w:t xml:space="preserve">Financijski rashodi (šifre 341+342+343) </w:t>
      </w:r>
    </w:p>
    <w:p w14:paraId="3E0EDEF5" w14:textId="77777777" w:rsidR="005A477A" w:rsidRDefault="00000000">
      <w:r>
        <w:t>Financijski rashod u razdoblju od 1. siječnja do 31. prosinca 2025. godine ostvareni su u iznosu od 32.587,34 €, odnosno 16,2% ili 6.311,37 € manje u odnosu na iste rashode ostvarene u istom razdoblju 2024. godine. Na pad u promatranom razdoblju je utjecalo umanjenje kamata za primljeni dugoročni kredit za 30% ili 11.279,29 €. Ostali financijski rashodi (zatezne kamate iz poslovnih odnosa i usluge platnog prometa) su ostvareni u iznosu od 6.312,50 €, odnosno 369,5 % ili 4.967,92 € više nego u promatranom razdoblju 2024. godine.</w:t>
      </w:r>
    </w:p>
    <w:p w14:paraId="5B8C3ABD" w14:textId="77777777" w:rsidR="005A477A" w:rsidRDefault="005A477A"/>
    <w:p w14:paraId="2DB6476B" w14:textId="77777777" w:rsidR="005A477A" w:rsidRDefault="00000000">
      <w:pPr>
        <w:keepNext/>
        <w:spacing w:line="240" w:lineRule="auto"/>
        <w:jc w:val="center"/>
      </w:pPr>
      <w:r>
        <w:rPr>
          <w:sz w:val="28"/>
        </w:rPr>
        <w:t>Bilješka 17.</w:t>
      </w:r>
    </w:p>
    <w:p w14:paraId="44DE96C8" w14:textId="77777777" w:rsidR="005A477A" w:rsidRDefault="00000000">
      <w:pPr>
        <w:spacing w:after="0"/>
        <w:rPr>
          <w:b/>
          <w:bCs/>
        </w:rPr>
      </w:pPr>
      <w:r>
        <w:rPr>
          <w:b/>
          <w:bCs/>
        </w:rPr>
        <w:t>352</w:t>
      </w:r>
      <w:r>
        <w:rPr>
          <w:b/>
          <w:bCs/>
        </w:rPr>
        <w:tab/>
        <w:t>Subvencije kreditnim i financijskim institucijama, trgovačkim društvima, zadrugama, poljoprivrednicima i obrtnicima izvan javnog sektora (šifre 3521 do 3523)</w:t>
      </w:r>
    </w:p>
    <w:p w14:paraId="2A4B585D" w14:textId="77777777" w:rsidR="005A477A" w:rsidRDefault="00000000">
      <w:pPr>
        <w:spacing w:line="240" w:lineRule="auto"/>
        <w:jc w:val="both"/>
      </w:pPr>
      <w:r>
        <w:t>Rashodi za subvencije u razdoblju od 1. siječnja do 31. prosinca 2025. godine ostvareni su u iznosu od 43.937,91 €, odnosno 233% ili 30.743,35 € više u odnosu na iste rashode ostvarene u promatranom razdoblju 2024. godine. Na rast tih rashoda je utjecalo uvećanje rashoda za subvencije poljoprivrednicima i obrtnicima za 335,8% ili 30.537,06 €, dok su subvencije trgovačkim društvima izvan javnog sektora uvećane za 5% ili 206,29 €.</w:t>
      </w:r>
    </w:p>
    <w:p w14:paraId="2789BC3B" w14:textId="77777777" w:rsidR="005A477A" w:rsidRDefault="005A477A"/>
    <w:p w14:paraId="6A06F21B" w14:textId="77777777" w:rsidR="005A477A" w:rsidRDefault="00000000">
      <w:pPr>
        <w:keepNext/>
        <w:spacing w:line="240" w:lineRule="auto"/>
        <w:jc w:val="center"/>
        <w:rPr>
          <w:sz w:val="28"/>
        </w:rPr>
      </w:pPr>
      <w:r>
        <w:rPr>
          <w:sz w:val="28"/>
        </w:rPr>
        <w:t>Bilješka 18.</w:t>
      </w:r>
    </w:p>
    <w:p w14:paraId="2782EB5F" w14:textId="77777777" w:rsidR="005A477A" w:rsidRDefault="00000000">
      <w:pPr>
        <w:keepNext/>
        <w:numPr>
          <w:ilvl w:val="0"/>
          <w:numId w:val="9"/>
        </w:numPr>
        <w:spacing w:line="240" w:lineRule="auto"/>
        <w:jc w:val="both"/>
        <w:rPr>
          <w:b/>
          <w:bCs/>
        </w:rPr>
      </w:pPr>
      <w:r>
        <w:rPr>
          <w:b/>
          <w:bCs/>
        </w:rPr>
        <w:t>Pomoći drugom proračunu i izvanproračunskim korisnicima (šifre 3631 do 3636)</w:t>
      </w:r>
    </w:p>
    <w:p w14:paraId="648C7520" w14:textId="77777777" w:rsidR="005A477A" w:rsidRDefault="00000000">
      <w:pPr>
        <w:keepNext/>
        <w:spacing w:line="240" w:lineRule="auto"/>
        <w:jc w:val="both"/>
      </w:pPr>
      <w:r>
        <w:t>Rashodi za tekuće pomoći gradskim proračunima (vatrogasci) u razdoblju od 1. siječnja do 31. prosinca 2025. godine ostvareni su u iznosu od 57.594,00 €, odnosno 37,9%  ili 35.219,87 € manje u odnosu na iste rashode ostvarene u promatranom razdoblju 2024. godine. Na pad tih rashoda je utjecao izostanak rashoda za kapitalne pomoći drugim proračunima u ovom razdoblju, dok je u istom 2024. godine zabilježen u iznosu od 10.000,00 €.</w:t>
      </w:r>
    </w:p>
    <w:p w14:paraId="7B762FC0" w14:textId="77777777" w:rsidR="005A477A" w:rsidRDefault="005A477A">
      <w:pPr>
        <w:keepNext/>
        <w:spacing w:line="240" w:lineRule="auto"/>
        <w:jc w:val="both"/>
      </w:pPr>
    </w:p>
    <w:p w14:paraId="0012E4DF" w14:textId="77777777" w:rsidR="005A477A" w:rsidRDefault="00000000">
      <w:pPr>
        <w:keepNext/>
        <w:spacing w:line="240" w:lineRule="auto"/>
        <w:jc w:val="center"/>
      </w:pPr>
      <w:r>
        <w:t>Bilješka 19.</w:t>
      </w:r>
    </w:p>
    <w:p w14:paraId="6FE2E5E6" w14:textId="77777777" w:rsidR="005A477A" w:rsidRDefault="00000000">
      <w:pPr>
        <w:spacing w:after="0"/>
        <w:rPr>
          <w:b/>
          <w:bCs/>
        </w:rPr>
      </w:pPr>
      <w:r>
        <w:rPr>
          <w:b/>
          <w:bCs/>
        </w:rPr>
        <w:t>381</w:t>
      </w:r>
      <w:r>
        <w:rPr>
          <w:b/>
          <w:bCs/>
        </w:rPr>
        <w:tab/>
        <w:t xml:space="preserve">Tekuće donacije (šifre 3811 do 3813) </w:t>
      </w:r>
    </w:p>
    <w:p w14:paraId="6E9A8CCF" w14:textId="77777777" w:rsidR="005A477A" w:rsidRDefault="00000000">
      <w:pPr>
        <w:spacing w:line="240" w:lineRule="auto"/>
        <w:jc w:val="both"/>
      </w:pPr>
      <w:r>
        <w:lastRenderedPageBreak/>
        <w:t xml:space="preserve">Rashodi za tekuće donacije u razdoblju od 1. siječnja do 31. prosinca 2025. godine ostvareni su u iznosu od 201.273,24 €, odnosno 7,6% ili 16.544,21 € manje u odnosu na iste rashode ostvarene u promatranom razdoblju 2024. godine. Na pad tih rashoda je utjecalo umanjenje rashoda za tekuće donacije u novcu turističkim zajednicama, humanitarnim organizacijama, sportskim društvima, udrugama i političkim strankama, vjerskim zajednicama. </w:t>
      </w:r>
    </w:p>
    <w:p w14:paraId="3A18CA2D" w14:textId="77777777" w:rsidR="005A477A" w:rsidRDefault="005A477A">
      <w:pPr>
        <w:spacing w:line="240" w:lineRule="auto"/>
        <w:jc w:val="both"/>
      </w:pPr>
    </w:p>
    <w:p w14:paraId="6410E641" w14:textId="77777777" w:rsidR="005A477A" w:rsidRDefault="00000000">
      <w:pPr>
        <w:keepNext/>
        <w:spacing w:line="240" w:lineRule="auto"/>
        <w:jc w:val="center"/>
      </w:pPr>
      <w:r>
        <w:t>Bilješka 20.</w:t>
      </w:r>
    </w:p>
    <w:p w14:paraId="775E3782" w14:textId="77777777" w:rsidR="005A477A" w:rsidRDefault="00000000">
      <w:pPr>
        <w:numPr>
          <w:ilvl w:val="0"/>
          <w:numId w:val="10"/>
        </w:numPr>
        <w:spacing w:line="240" w:lineRule="auto"/>
        <w:jc w:val="both"/>
        <w:rPr>
          <w:b/>
          <w:bCs/>
        </w:rPr>
      </w:pPr>
      <w:r>
        <w:rPr>
          <w:b/>
          <w:bCs/>
        </w:rPr>
        <w:t xml:space="preserve">Kapitalne donacije (šifre 3821 do 3824) </w:t>
      </w:r>
    </w:p>
    <w:p w14:paraId="748465A4" w14:textId="77777777" w:rsidR="005A477A" w:rsidRDefault="00000000">
      <w:pPr>
        <w:spacing w:line="240" w:lineRule="auto"/>
        <w:jc w:val="both"/>
      </w:pPr>
      <w:r>
        <w:t xml:space="preserve">Rashodi za kapitalne donacije u razdoblju od 1. siječnja do 31. prosinca 2025. godine ostvareni su u iznosu od 10.000,00 €, odnosno 92,9% ili 131.752,19 € manje u odnosu na iste rashode ostvarene u promatranom razdoblju 2024. godine. Na pad tih rashoda je utjecalo umanjenje rashoda za tekuće donacije u novcu turističkim zajednicama, humanitarnim organizacijama, sportskim društvima, udrugama i političkim strankama, vjerskim zajednicama. </w:t>
      </w:r>
    </w:p>
    <w:p w14:paraId="163C48AE" w14:textId="77777777" w:rsidR="005A477A" w:rsidRDefault="005A477A">
      <w:pPr>
        <w:spacing w:line="240" w:lineRule="auto"/>
        <w:jc w:val="both"/>
      </w:pPr>
    </w:p>
    <w:p w14:paraId="21BCF7AE" w14:textId="77777777" w:rsidR="005A477A" w:rsidRDefault="00000000">
      <w:pPr>
        <w:keepNext/>
        <w:spacing w:line="240" w:lineRule="auto"/>
        <w:jc w:val="center"/>
      </w:pPr>
      <w:r>
        <w:t>Bilješka 21.</w:t>
      </w:r>
    </w:p>
    <w:p w14:paraId="69769817" w14:textId="77777777" w:rsidR="005A477A" w:rsidRDefault="00000000">
      <w:pPr>
        <w:numPr>
          <w:ilvl w:val="0"/>
          <w:numId w:val="11"/>
        </w:numPr>
        <w:spacing w:line="240" w:lineRule="auto"/>
        <w:jc w:val="both"/>
        <w:rPr>
          <w:b/>
          <w:bCs/>
        </w:rPr>
      </w:pPr>
      <w:r>
        <w:rPr>
          <w:b/>
          <w:bCs/>
        </w:rPr>
        <w:t>Kazne, penali i naknade štete (šifre 3831 do 3835)</w:t>
      </w:r>
    </w:p>
    <w:p w14:paraId="05B587F2" w14:textId="77777777" w:rsidR="005A477A" w:rsidRDefault="00000000">
      <w:pPr>
        <w:spacing w:line="240" w:lineRule="auto"/>
        <w:jc w:val="both"/>
      </w:pPr>
      <w:r>
        <w:t>Rashodi za kazne u razdoblju od 1. siječnja do 31. prosinca 2025. godine ostvareni su u iznosu od 105.768,66 € te nisu ostvarene u promatranom razdoblju 2024. godine. Odnose se na ugovorene kazne i ostale naknade šteta.</w:t>
      </w:r>
    </w:p>
    <w:p w14:paraId="202CFD5F" w14:textId="77777777" w:rsidR="005A477A" w:rsidRDefault="005A477A"/>
    <w:p w14:paraId="7900F0A9" w14:textId="77777777" w:rsidR="005A477A" w:rsidRDefault="00000000">
      <w:pPr>
        <w:keepNext/>
        <w:spacing w:line="240" w:lineRule="auto"/>
        <w:jc w:val="center"/>
      </w:pPr>
      <w:r>
        <w:rPr>
          <w:sz w:val="28"/>
        </w:rPr>
        <w:t>Bilješka 22.</w:t>
      </w:r>
    </w:p>
    <w:p w14:paraId="341D8AB7" w14:textId="77777777" w:rsidR="005A477A" w:rsidRDefault="00000000">
      <w:pPr>
        <w:keepNext/>
        <w:spacing w:line="240" w:lineRule="auto"/>
        <w:rPr>
          <w:b/>
          <w:bCs/>
        </w:rPr>
      </w:pPr>
      <w:r>
        <w:rPr>
          <w:b/>
          <w:bCs/>
        </w:rPr>
        <w:t>4</w:t>
      </w:r>
      <w:r>
        <w:rPr>
          <w:b/>
          <w:bCs/>
        </w:rPr>
        <w:tab/>
        <w:t>Rashodi za nabavu nefinancijske imovine (šifre 41+42+43+44+45)</w:t>
      </w:r>
    </w:p>
    <w:p w14:paraId="6C5F6A1E" w14:textId="77777777" w:rsidR="005A477A" w:rsidRDefault="00000000">
      <w:pPr>
        <w:spacing w:after="0"/>
      </w:pPr>
      <w:r>
        <w:t>Rashodi za nabavu nefinancijske imovine u razdoblju od 1. siječnja do 31. prosinca 2025. godine ostvareni su u iznosu od 444.298,70 €, odnosno 54,1% ili 523.290,76 € manje u odnosu na iste rashode ostvarene u promatranom razdoblju 2024. godine. Odnose se na rashode na nabavu proizvedene dugotrajne imovine i neproizvedene dugotrajne imovine.</w:t>
      </w:r>
    </w:p>
    <w:p w14:paraId="2376E05C" w14:textId="77777777" w:rsidR="005A477A" w:rsidRDefault="005A477A">
      <w:pPr>
        <w:spacing w:after="0"/>
      </w:pPr>
    </w:p>
    <w:p w14:paraId="2289ECC9" w14:textId="77777777" w:rsidR="005A477A" w:rsidRDefault="005A477A">
      <w:pPr>
        <w:spacing w:after="0"/>
      </w:pPr>
    </w:p>
    <w:p w14:paraId="204D99D0" w14:textId="77777777" w:rsidR="005A477A" w:rsidRDefault="00000000">
      <w:pPr>
        <w:spacing w:after="0"/>
        <w:jc w:val="center"/>
      </w:pPr>
      <w:r>
        <w:t>Bilješka 23.</w:t>
      </w:r>
    </w:p>
    <w:p w14:paraId="5C127C47" w14:textId="77777777" w:rsidR="005A477A" w:rsidRDefault="00000000">
      <w:pPr>
        <w:numPr>
          <w:ilvl w:val="0"/>
          <w:numId w:val="12"/>
        </w:numPr>
        <w:spacing w:after="0"/>
        <w:rPr>
          <w:b/>
          <w:bCs/>
        </w:rPr>
      </w:pPr>
      <w:r>
        <w:rPr>
          <w:b/>
          <w:bCs/>
        </w:rPr>
        <w:t>Građevinski objekti (šifre 4211 do 4214)</w:t>
      </w:r>
    </w:p>
    <w:p w14:paraId="4C36A714" w14:textId="77777777" w:rsidR="005A477A" w:rsidRDefault="00000000">
      <w:pPr>
        <w:spacing w:after="0"/>
      </w:pPr>
      <w:r>
        <w:t xml:space="preserve">Od 1. siječnja do 31. prosinca 2025. godine ostvareni su rashodi za ostale građevinske objekte u iznosu od 7.812,50 €, odnosno 91,7% ili 86.836,45 € manje nego u istom razdoblju 2024. godine. </w:t>
      </w:r>
    </w:p>
    <w:p w14:paraId="67B48AB2" w14:textId="77777777" w:rsidR="005A477A" w:rsidRDefault="005A477A">
      <w:pPr>
        <w:spacing w:after="0"/>
      </w:pPr>
    </w:p>
    <w:p w14:paraId="1439C61A" w14:textId="77777777" w:rsidR="005A477A" w:rsidRDefault="005A477A">
      <w:pPr>
        <w:spacing w:after="0"/>
      </w:pPr>
    </w:p>
    <w:p w14:paraId="07719B75" w14:textId="77777777" w:rsidR="005A477A" w:rsidRDefault="00000000">
      <w:pPr>
        <w:spacing w:after="0"/>
        <w:jc w:val="center"/>
      </w:pPr>
      <w:r>
        <w:t>Bilješka 24.</w:t>
      </w:r>
    </w:p>
    <w:p w14:paraId="2C6579F9" w14:textId="77777777" w:rsidR="005A477A" w:rsidRDefault="00000000">
      <w:pPr>
        <w:spacing w:after="0"/>
        <w:rPr>
          <w:b/>
          <w:bCs/>
        </w:rPr>
      </w:pPr>
      <w:r>
        <w:rPr>
          <w:b/>
          <w:bCs/>
        </w:rPr>
        <w:t>422 Postrojenja i oprema (šifre 4221 do 4228)</w:t>
      </w:r>
    </w:p>
    <w:p w14:paraId="4C050E36" w14:textId="77777777" w:rsidR="005A477A" w:rsidRDefault="00000000">
      <w:pPr>
        <w:spacing w:after="0"/>
      </w:pPr>
      <w:r>
        <w:t xml:space="preserve">Od 1. siječnja do 31. prosinca 2025. godine ostvareni su rashodi u iznosu od 74.411,85 €, odnosno 65,3% ili 139.809,13 € manje nego u istom razdoblju 2024. godine. Rashodi  za opremu za održavanje i zaštitu (komunalna, prometna oprema, oprema za ventilaciju i </w:t>
      </w:r>
      <w:r>
        <w:lastRenderedPageBreak/>
        <w:t>hlađenje) su ostvareni za 55% ili 40.683,53 € manje u odnosu na 2024. godinu u promatranom razdoblju, dok su rashodi uređaje, strojeve i opremu za ostale namjene (priključni ormarić za struju i oprema) ove godine ostvareni za 75% ili 102.739,32 € manje u odnosu na 2024. godinu.</w:t>
      </w:r>
    </w:p>
    <w:p w14:paraId="78FF15C4" w14:textId="77777777" w:rsidR="005A477A" w:rsidRDefault="005A477A">
      <w:pPr>
        <w:spacing w:line="240" w:lineRule="auto"/>
        <w:jc w:val="both"/>
      </w:pPr>
    </w:p>
    <w:p w14:paraId="6CF2EC79" w14:textId="77777777" w:rsidR="005A477A" w:rsidRDefault="00000000">
      <w:pPr>
        <w:spacing w:after="0"/>
        <w:jc w:val="center"/>
      </w:pPr>
      <w:r>
        <w:t>Bilješka 25.</w:t>
      </w:r>
    </w:p>
    <w:p w14:paraId="3E66C9EE" w14:textId="77777777" w:rsidR="005A477A" w:rsidRDefault="005A477A">
      <w:pPr>
        <w:spacing w:after="0"/>
      </w:pPr>
    </w:p>
    <w:p w14:paraId="085D7F90" w14:textId="77777777" w:rsidR="005A477A" w:rsidRDefault="00000000">
      <w:pPr>
        <w:numPr>
          <w:ilvl w:val="0"/>
          <w:numId w:val="13"/>
        </w:numPr>
        <w:spacing w:after="0"/>
        <w:rPr>
          <w:b/>
          <w:bCs/>
        </w:rPr>
      </w:pPr>
      <w:r>
        <w:rPr>
          <w:b/>
          <w:bCs/>
        </w:rPr>
        <w:t>Nematerijalna proizvedena imovina (šifre 4261 do 4264)</w:t>
      </w:r>
    </w:p>
    <w:p w14:paraId="05F37176" w14:textId="77777777" w:rsidR="005A477A" w:rsidRDefault="00000000">
      <w:pPr>
        <w:spacing w:after="0"/>
      </w:pPr>
      <w:r>
        <w:t xml:space="preserve">Od 1. siječnja do 31. prosinca 2025. godine ostvareni su rashodi za ostali nematerijalnu proizvedenu imovinu u iznosu od 116.418,81 €, odnosno 127,2% ili 65.187,56 € više nego u istom razdoblju 2024. godine. </w:t>
      </w:r>
    </w:p>
    <w:p w14:paraId="67546D8B" w14:textId="77777777" w:rsidR="005A477A" w:rsidRDefault="005A477A">
      <w:pPr>
        <w:spacing w:line="240" w:lineRule="auto"/>
        <w:jc w:val="both"/>
      </w:pPr>
    </w:p>
    <w:p w14:paraId="2CFB57BF" w14:textId="77777777" w:rsidR="005A477A" w:rsidRDefault="00000000">
      <w:pPr>
        <w:spacing w:after="0"/>
        <w:jc w:val="center"/>
      </w:pPr>
      <w:r>
        <w:t>Bilješka 26.</w:t>
      </w:r>
    </w:p>
    <w:p w14:paraId="41620398" w14:textId="77777777" w:rsidR="005A477A" w:rsidRDefault="005A477A">
      <w:pPr>
        <w:spacing w:after="0"/>
      </w:pPr>
    </w:p>
    <w:p w14:paraId="6830A373" w14:textId="77777777" w:rsidR="005A477A" w:rsidRDefault="00000000">
      <w:pPr>
        <w:numPr>
          <w:ilvl w:val="0"/>
          <w:numId w:val="14"/>
        </w:numPr>
        <w:spacing w:after="0"/>
        <w:rPr>
          <w:b/>
          <w:bCs/>
        </w:rPr>
      </w:pPr>
      <w:r>
        <w:rPr>
          <w:b/>
          <w:bCs/>
        </w:rPr>
        <w:t>Dodatna ulaganja na građevinskim objektima</w:t>
      </w:r>
    </w:p>
    <w:p w14:paraId="2CFB6CB0" w14:textId="77777777" w:rsidR="005A477A" w:rsidRDefault="00000000">
      <w:pPr>
        <w:spacing w:after="0"/>
      </w:pPr>
      <w:r>
        <w:t xml:space="preserve">Od 1. siječnja do 31. prosinca 2025. godine ostvareni su rashodi za dodatna ulaganja na građevinskim objektima u iznosu od 212.476,26 €, odnosno 63,4% ili 368.118,52 € manje nego u istom razdoblju 2024. godine. </w:t>
      </w:r>
    </w:p>
    <w:p w14:paraId="448563B8" w14:textId="77777777" w:rsidR="005A477A" w:rsidRDefault="005A477A">
      <w:pPr>
        <w:spacing w:line="240" w:lineRule="auto"/>
        <w:jc w:val="both"/>
      </w:pPr>
    </w:p>
    <w:p w14:paraId="4C4F6422" w14:textId="77777777" w:rsidR="005A477A" w:rsidRDefault="00000000">
      <w:pPr>
        <w:spacing w:line="240" w:lineRule="auto"/>
        <w:jc w:val="center"/>
      </w:pPr>
      <w:r>
        <w:t>Bilješka 27.</w:t>
      </w:r>
    </w:p>
    <w:p w14:paraId="1CC14179" w14:textId="77777777" w:rsidR="005A477A" w:rsidRDefault="00000000">
      <w:pPr>
        <w:numPr>
          <w:ilvl w:val="0"/>
          <w:numId w:val="15"/>
        </w:numPr>
        <w:spacing w:after="0"/>
        <w:rPr>
          <w:b/>
          <w:bCs/>
        </w:rPr>
      </w:pPr>
      <w:r>
        <w:rPr>
          <w:b/>
          <w:bCs/>
        </w:rPr>
        <w:t>Izdaci za financijsku imovinu i otplate zajmova (šifre 51+52+53+54+55)</w:t>
      </w:r>
    </w:p>
    <w:p w14:paraId="3CF97F9F" w14:textId="77777777" w:rsidR="005A477A" w:rsidRDefault="00000000">
      <w:pPr>
        <w:spacing w:after="0"/>
      </w:pPr>
      <w:r>
        <w:t>Izdaci za financijsku imovinu i otplatu zajmova u razdoblju od 1. siječnja do 31. prosinca 2025. godine ostvareni su u iznosu od 397.324,52 €, odnosno 12,9% manje u odnosu na iste rashode ostvarene u promatranom razdoblju 2024. godine što je posljedica umanjenja izdataka za ulaganje u dionice i udjele.</w:t>
      </w:r>
    </w:p>
    <w:p w14:paraId="4AA1C73C" w14:textId="77777777" w:rsidR="005A477A" w:rsidRDefault="005A477A">
      <w:pPr>
        <w:spacing w:after="0"/>
      </w:pPr>
    </w:p>
    <w:p w14:paraId="3B6525C9" w14:textId="77777777" w:rsidR="005A477A" w:rsidRDefault="005A477A">
      <w:pPr>
        <w:spacing w:after="0"/>
      </w:pPr>
    </w:p>
    <w:p w14:paraId="32675375" w14:textId="77777777" w:rsidR="005A477A" w:rsidRDefault="00000000">
      <w:pPr>
        <w:spacing w:line="240" w:lineRule="auto"/>
        <w:jc w:val="center"/>
      </w:pPr>
      <w:r>
        <w:t>Bilješka 28.</w:t>
      </w:r>
    </w:p>
    <w:p w14:paraId="40F97543" w14:textId="77777777" w:rsidR="005A477A" w:rsidRDefault="00000000">
      <w:pPr>
        <w:numPr>
          <w:ilvl w:val="0"/>
          <w:numId w:val="16"/>
        </w:numPr>
        <w:spacing w:after="0"/>
        <w:rPr>
          <w:b/>
          <w:bCs/>
        </w:rPr>
      </w:pPr>
      <w:r>
        <w:rPr>
          <w:b/>
          <w:bCs/>
        </w:rPr>
        <w:t>Izdaci za ulaganja u dionice i udjele u glavnici trgovačkih društava u javnom sektoru (šifra 5321)</w:t>
      </w:r>
    </w:p>
    <w:p w14:paraId="3D14694D" w14:textId="77777777" w:rsidR="005A477A" w:rsidRDefault="00000000">
      <w:pPr>
        <w:spacing w:after="0"/>
      </w:pPr>
      <w:r>
        <w:t>Izdaci za ulaganja u dionice i udjele u glavnici trrgovački društava (Ponikve Eko otok Krk d.o.o. i Ponikve voda d.o.o.) u razdoblju od 1. siječnja do 31. prosinca 2025. godine ostvareni su u iznosu od 136.957,23 €, odnosno 30,5% manje u odnosu na iste rashode ostvarene u promatranom razdoblju 2024. godine.</w:t>
      </w:r>
    </w:p>
    <w:p w14:paraId="53188045" w14:textId="77777777" w:rsidR="005A477A" w:rsidRDefault="005A477A">
      <w:pPr>
        <w:spacing w:line="240" w:lineRule="auto"/>
        <w:jc w:val="both"/>
      </w:pPr>
    </w:p>
    <w:p w14:paraId="6DFDB3FA" w14:textId="77777777" w:rsidR="005A477A" w:rsidRDefault="00000000">
      <w:pPr>
        <w:keepNext/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Bilanca </w:t>
      </w:r>
    </w:p>
    <w:p w14:paraId="38EE60A7" w14:textId="77777777" w:rsidR="005A477A" w:rsidRDefault="00000000">
      <w:pPr>
        <w:keepNext/>
        <w:spacing w:line="240" w:lineRule="auto"/>
        <w:jc w:val="center"/>
      </w:pPr>
      <w:r>
        <w:rPr>
          <w:sz w:val="28"/>
        </w:rPr>
        <w:t>Bilješka 29.</w:t>
      </w:r>
    </w:p>
    <w:p w14:paraId="2BFEB0A0" w14:textId="77777777" w:rsidR="005A477A" w:rsidRDefault="005A477A">
      <w:pPr>
        <w:spacing w:after="0"/>
      </w:pPr>
    </w:p>
    <w:p w14:paraId="64CAA850" w14:textId="77777777" w:rsidR="005A477A" w:rsidRDefault="00000000">
      <w:r>
        <w:t>Ukupna imovina jednaka je obvezama i vlastitim izvorima te iznosi 72.125.748,57 €.</w:t>
      </w:r>
    </w:p>
    <w:p w14:paraId="4DA7FC1F" w14:textId="77777777" w:rsidR="005A477A" w:rsidRDefault="00000000">
      <w:pPr>
        <w:spacing w:line="240" w:lineRule="auto"/>
        <w:jc w:val="both"/>
      </w:pPr>
      <w:r>
        <w:lastRenderedPageBreak/>
        <w:t xml:space="preserve">U izvještajnom razdoblju od 1. siječnja do 31. prosinca 2025. godine Općina Punat zabilježila je nefinancijsku imovinu u ukupnom iznosu od 63.305.816,68 €, što je manje za 1,4% ili 925.031,34 € u odnosu na 2024. godinu te financijsku imovinu u iznosu od 8.819.931,89 € što je više za 21,3% ili 1.546.959,65 € nego prošle godine. Ukupne obveze su zabilježene u iznosu od 1.757.061,82 € što je manje za 10,4% ili 203.265,24 €. Vlastiti izvori ostvareni su u iznosu od 70.368.686,75 € što je za 1,2% više nego prošle godine. </w:t>
      </w:r>
    </w:p>
    <w:p w14:paraId="40802327" w14:textId="77777777" w:rsidR="005A477A" w:rsidRDefault="005A477A">
      <w:pPr>
        <w:spacing w:line="240" w:lineRule="auto"/>
        <w:jc w:val="both"/>
      </w:pPr>
    </w:p>
    <w:p w14:paraId="0ED16C9B" w14:textId="77777777" w:rsidR="005A477A" w:rsidRDefault="00000000">
      <w:pPr>
        <w:spacing w:line="240" w:lineRule="auto"/>
        <w:jc w:val="center"/>
      </w:pPr>
      <w:r>
        <w:t>Bilješka 30.</w:t>
      </w:r>
    </w:p>
    <w:p w14:paraId="13403D32" w14:textId="77777777" w:rsidR="005A477A" w:rsidRDefault="00000000">
      <w:pPr>
        <w:spacing w:line="240" w:lineRule="auto"/>
        <w:jc w:val="both"/>
        <w:rPr>
          <w:b/>
          <w:bCs/>
        </w:rPr>
      </w:pPr>
      <w:r>
        <w:rPr>
          <w:b/>
          <w:bCs/>
        </w:rPr>
        <w:t>021 i 02921</w:t>
      </w:r>
      <w:r>
        <w:rPr>
          <w:b/>
          <w:bCs/>
        </w:rPr>
        <w:tab/>
        <w:t>Građevinski objekti (šifre 0211 do 0214 - 02921)</w:t>
      </w:r>
    </w:p>
    <w:p w14:paraId="22785433" w14:textId="77777777" w:rsidR="005A477A" w:rsidRDefault="00000000">
      <w:pPr>
        <w:spacing w:line="240" w:lineRule="auto"/>
        <w:jc w:val="both"/>
      </w:pPr>
      <w:r>
        <w:t>Građevinski objekti zabilježeni su u iznosu od 12.038.790,08 €, što je za 8,8% ili 1.166.449,61 € manje nego u 2024. godini, a odnose se na poslovne objekte, ceste, željeznice i ostale prometne objekte te ostale prometne objekte. Ispravak vrijednosti građevinskih objekata iznosi 3.860.232,45 €.</w:t>
      </w:r>
    </w:p>
    <w:p w14:paraId="7D42E25E" w14:textId="77777777" w:rsidR="005A477A" w:rsidRDefault="005A477A">
      <w:pPr>
        <w:spacing w:line="240" w:lineRule="auto"/>
        <w:jc w:val="both"/>
      </w:pPr>
    </w:p>
    <w:p w14:paraId="09F3390C" w14:textId="77777777" w:rsidR="005A477A" w:rsidRDefault="00000000">
      <w:pPr>
        <w:spacing w:line="240" w:lineRule="auto"/>
        <w:jc w:val="center"/>
      </w:pPr>
      <w:r>
        <w:t>Bilješka 31.</w:t>
      </w:r>
    </w:p>
    <w:p w14:paraId="52E02F70" w14:textId="77777777" w:rsidR="005A477A" w:rsidRDefault="00000000">
      <w:pPr>
        <w:spacing w:line="240" w:lineRule="auto"/>
        <w:jc w:val="both"/>
        <w:rPr>
          <w:b/>
          <w:bCs/>
        </w:rPr>
      </w:pPr>
      <w:r>
        <w:rPr>
          <w:b/>
          <w:bCs/>
        </w:rPr>
        <w:t>022 i 02922</w:t>
      </w:r>
      <w:r>
        <w:rPr>
          <w:b/>
          <w:bCs/>
        </w:rPr>
        <w:tab/>
        <w:t>Postrojenja i oprema (šifre 0221 do 0228 - 02922)</w:t>
      </w:r>
    </w:p>
    <w:p w14:paraId="7D88D0B9" w14:textId="77777777" w:rsidR="005A477A" w:rsidRDefault="00000000">
      <w:pPr>
        <w:spacing w:line="240" w:lineRule="auto"/>
        <w:jc w:val="both"/>
      </w:pPr>
      <w:r>
        <w:t>Postrojenja i oprema zabilježeni su u iznosu od 615.548,94 €, što je za 14,9% ili 107.879,01 € manje nego u 2024. godini, a odnose se na uredsku opremu i namještaj, komunikacijsku opremu, opremu za održavanje i zaštitu, instrumente i uređaje te uređaje, strojeve i opremu za ostale namjene te sportsku i glazbenu opremu. Ispravak vrijednosti postrojenja i opreme iznosi 1.008.805,88 €.</w:t>
      </w:r>
    </w:p>
    <w:p w14:paraId="04BC3EC6" w14:textId="77777777" w:rsidR="005A477A" w:rsidRDefault="005A477A">
      <w:pPr>
        <w:spacing w:line="240" w:lineRule="auto"/>
        <w:jc w:val="both"/>
      </w:pPr>
    </w:p>
    <w:p w14:paraId="44C0E541" w14:textId="77777777" w:rsidR="005A477A" w:rsidRDefault="00000000">
      <w:pPr>
        <w:spacing w:line="240" w:lineRule="auto"/>
        <w:jc w:val="center"/>
      </w:pPr>
      <w:r>
        <w:t>Bilješka 32.</w:t>
      </w:r>
    </w:p>
    <w:p w14:paraId="3727D8B6" w14:textId="77777777" w:rsidR="005A477A" w:rsidRDefault="00000000">
      <w:pPr>
        <w:numPr>
          <w:ilvl w:val="0"/>
          <w:numId w:val="17"/>
        </w:numPr>
        <w:spacing w:line="240" w:lineRule="auto"/>
        <w:jc w:val="both"/>
        <w:rPr>
          <w:b/>
          <w:bCs/>
        </w:rPr>
      </w:pPr>
      <w:r>
        <w:rPr>
          <w:b/>
          <w:bCs/>
        </w:rPr>
        <w:t>Novac u banci i blagajni (šifre 111+112 do 114)</w:t>
      </w:r>
    </w:p>
    <w:p w14:paraId="0EB19FC1" w14:textId="77777777" w:rsidR="005A477A" w:rsidRDefault="00000000">
      <w:pPr>
        <w:spacing w:line="240" w:lineRule="auto"/>
        <w:jc w:val="both"/>
      </w:pPr>
      <w:r>
        <w:t xml:space="preserve">Novac u banci zabilježen je u iznosu od 167.266,41 €, što je više za 141,1% ili 97.904,52 € nego u 2024. godini. </w:t>
      </w:r>
    </w:p>
    <w:p w14:paraId="4F4A563A" w14:textId="77777777" w:rsidR="005A477A" w:rsidRDefault="005A477A">
      <w:pPr>
        <w:spacing w:line="240" w:lineRule="auto"/>
        <w:jc w:val="both"/>
      </w:pPr>
    </w:p>
    <w:p w14:paraId="71DAC1DD" w14:textId="77777777" w:rsidR="005A477A" w:rsidRDefault="00000000">
      <w:pPr>
        <w:spacing w:line="240" w:lineRule="auto"/>
        <w:jc w:val="center"/>
      </w:pPr>
      <w:r>
        <w:t>Bilješka 33.</w:t>
      </w:r>
    </w:p>
    <w:p w14:paraId="704C3078" w14:textId="77777777" w:rsidR="005A477A" w:rsidRDefault="00000000">
      <w:pPr>
        <w:spacing w:line="240" w:lineRule="auto"/>
        <w:jc w:val="both"/>
        <w:rPr>
          <w:b/>
          <w:bCs/>
        </w:rPr>
      </w:pPr>
      <w:r>
        <w:rPr>
          <w:b/>
          <w:bCs/>
        </w:rPr>
        <w:t>16</w:t>
      </w:r>
      <w:r>
        <w:rPr>
          <w:b/>
          <w:bCs/>
        </w:rPr>
        <w:tab/>
        <w:t>Potraživanja za prihode poslovanja (šifre 161 do 163 + 164 do 168-169)</w:t>
      </w:r>
    </w:p>
    <w:p w14:paraId="35EC6F18" w14:textId="77777777" w:rsidR="005A477A" w:rsidRDefault="00000000">
      <w:pPr>
        <w:spacing w:line="240" w:lineRule="auto"/>
        <w:jc w:val="both"/>
      </w:pPr>
      <w:r>
        <w:t>Potraživanja za poreze, potraživanja za pomoći proračunu i izvanproračunskim korisnicima iz drugih proračuna, potraživanja za pomoći temeljem prijenosa EU sredstava, potraživanja za prihode od imovine, potraživanja za upravne i administrativne pristojbe, pristojbe po posebnim propisima i naknade, potraživanja za kazne i upravne mjere te ostale prihode ostvarena su u iznosu od 1.719.944,56 €, što je za 339,5% ili 1.328.564,92 € više nego prethodne godine. Ispravak vrijednosti potraživanja iznosi 179.373,19 €.</w:t>
      </w:r>
    </w:p>
    <w:p w14:paraId="4A6EBD2A" w14:textId="77777777" w:rsidR="005A477A" w:rsidRDefault="005A477A">
      <w:pPr>
        <w:spacing w:line="240" w:lineRule="auto"/>
        <w:jc w:val="both"/>
      </w:pPr>
    </w:p>
    <w:p w14:paraId="155BDF1C" w14:textId="77777777" w:rsidR="005A477A" w:rsidRDefault="00000000">
      <w:pPr>
        <w:spacing w:line="240" w:lineRule="auto"/>
        <w:jc w:val="center"/>
      </w:pPr>
      <w:r>
        <w:t>Bilješka 34.</w:t>
      </w:r>
    </w:p>
    <w:p w14:paraId="008AE967" w14:textId="77777777" w:rsidR="005A477A" w:rsidRDefault="00000000">
      <w:pPr>
        <w:numPr>
          <w:ilvl w:val="0"/>
          <w:numId w:val="18"/>
        </w:numPr>
        <w:spacing w:line="240" w:lineRule="auto"/>
        <w:jc w:val="both"/>
        <w:rPr>
          <w:b/>
          <w:bCs/>
        </w:rPr>
      </w:pPr>
      <w:r>
        <w:rPr>
          <w:b/>
          <w:bCs/>
        </w:rPr>
        <w:t>Obveze za financijske instrumente - vrijednosne papire (šifre 25X1+25X2-259)</w:t>
      </w:r>
    </w:p>
    <w:p w14:paraId="6C28B8AE" w14:textId="77777777" w:rsidR="005A477A" w:rsidRDefault="00000000">
      <w:pPr>
        <w:spacing w:line="240" w:lineRule="auto"/>
        <w:jc w:val="both"/>
      </w:pPr>
      <w:r>
        <w:lastRenderedPageBreak/>
        <w:t>Obveze za financijske instrumente ostvarene su u iznosu od 39.000,00 € što je za 304,3% ili 29.353,06 € više nego prethodne godine. Odnose se na obveze za mjenicc.</w:t>
      </w:r>
    </w:p>
    <w:p w14:paraId="7141E81D" w14:textId="77777777" w:rsidR="005A477A" w:rsidRDefault="005A477A">
      <w:pPr>
        <w:spacing w:line="240" w:lineRule="auto"/>
        <w:jc w:val="both"/>
      </w:pPr>
    </w:p>
    <w:p w14:paraId="0872A47D" w14:textId="77777777" w:rsidR="005A477A" w:rsidRDefault="00000000">
      <w:pPr>
        <w:spacing w:line="240" w:lineRule="auto"/>
        <w:jc w:val="center"/>
      </w:pPr>
      <w:r>
        <w:t>Bilješka 35.</w:t>
      </w:r>
    </w:p>
    <w:p w14:paraId="311CFDF1" w14:textId="77777777" w:rsidR="005A477A" w:rsidRDefault="00000000">
      <w:pPr>
        <w:numPr>
          <w:ilvl w:val="0"/>
          <w:numId w:val="19"/>
        </w:numPr>
        <w:spacing w:line="240" w:lineRule="auto"/>
        <w:jc w:val="both"/>
        <w:rPr>
          <w:b/>
          <w:bCs/>
        </w:rPr>
      </w:pPr>
      <w:r>
        <w:rPr>
          <w:b/>
          <w:bCs/>
        </w:rPr>
        <w:t>Obveze za kredite i zajmove (šifre 26X1+26X2)</w:t>
      </w:r>
    </w:p>
    <w:p w14:paraId="4046D8AC" w14:textId="77777777" w:rsidR="005A477A" w:rsidRDefault="00000000">
      <w:pPr>
        <w:spacing w:line="240" w:lineRule="auto"/>
        <w:jc w:val="both"/>
      </w:pPr>
      <w:r>
        <w:t>Obveze za kredite i rashode ostvarene su u iznosu od 1.320.909,60 € što je za 12,8% ili 194.525,70 € manje nego prethodne godine.</w:t>
      </w:r>
    </w:p>
    <w:p w14:paraId="78F31B51" w14:textId="77777777" w:rsidR="005A477A" w:rsidRDefault="005A477A">
      <w:pPr>
        <w:spacing w:after="0"/>
      </w:pPr>
    </w:p>
    <w:p w14:paraId="216BF4A7" w14:textId="77777777" w:rsidR="005A477A" w:rsidRDefault="005A477A">
      <w:pPr>
        <w:spacing w:after="0"/>
      </w:pPr>
    </w:p>
    <w:p w14:paraId="459578D1" w14:textId="77777777" w:rsidR="005A477A" w:rsidRDefault="00000000">
      <w:pPr>
        <w:spacing w:line="240" w:lineRule="auto"/>
        <w:jc w:val="center"/>
      </w:pPr>
      <w:r>
        <w:t>Bilješka 36.</w:t>
      </w:r>
    </w:p>
    <w:p w14:paraId="1248D514" w14:textId="77777777" w:rsidR="005A477A" w:rsidRDefault="00000000">
      <w:pPr>
        <w:numPr>
          <w:ilvl w:val="0"/>
          <w:numId w:val="20"/>
        </w:numPr>
        <w:spacing w:line="240" w:lineRule="auto"/>
        <w:jc w:val="both"/>
        <w:rPr>
          <w:b/>
          <w:bCs/>
        </w:rPr>
      </w:pPr>
      <w:r>
        <w:rPr>
          <w:b/>
          <w:bCs/>
        </w:rPr>
        <w:t>Vlastiti izvori (šifre 91 + 922 - 93 + 96 + 97)</w:t>
      </w:r>
    </w:p>
    <w:p w14:paraId="0F230A01" w14:textId="77777777" w:rsidR="005A477A" w:rsidRDefault="00000000">
      <w:pPr>
        <w:spacing w:line="240" w:lineRule="auto"/>
        <w:jc w:val="both"/>
      </w:pPr>
      <w:r>
        <w:t>Vlastiti izvori ostvareni su u iznosu od 70.368.686,75 € što je za 1,2% ili 825.193,55 € više nego prethodne godine. Višak prihoda poslovanja iznosi 4.042.619,56 € ili 24,9% više nego 2024. godine. Manjak prihoda od nefinancijske imovine je zabilježen u iznosu od 2.888.116,10 € ili za 11,3% više nego prethodne godine, dok je manjak od prihoda financijske imovine zabilježen u iznosu od 1.058.453,96 € što je za 60,3% više nego 2024. godine. Obračunati prihodi poslovanja zabilježeni su u iznosu od 1.699.481,53 € što je više za 364,6% ili 1.333.702,48 € nego 2024. godine.</w:t>
      </w:r>
    </w:p>
    <w:p w14:paraId="4E438282" w14:textId="77777777" w:rsidR="005A477A" w:rsidRDefault="005A477A"/>
    <w:p w14:paraId="0EF28D45" w14:textId="77777777" w:rsidR="005A477A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0A2253F4" w14:textId="77777777" w:rsidR="005A477A" w:rsidRDefault="00000000">
      <w:pPr>
        <w:keepNext/>
        <w:spacing w:line="240" w:lineRule="auto"/>
        <w:jc w:val="center"/>
      </w:pPr>
      <w:r>
        <w:rPr>
          <w:sz w:val="28"/>
        </w:rPr>
        <w:t>Bilješka 37.</w:t>
      </w:r>
    </w:p>
    <w:p w14:paraId="61FB80D8" w14:textId="77777777" w:rsidR="005A477A" w:rsidRDefault="005A477A">
      <w:pPr>
        <w:spacing w:after="0"/>
      </w:pPr>
    </w:p>
    <w:p w14:paraId="088ACA12" w14:textId="77777777" w:rsidR="005A477A" w:rsidRDefault="00000000">
      <w:pPr>
        <w:spacing w:line="240" w:lineRule="auto"/>
        <w:jc w:val="both"/>
      </w:pPr>
      <w:r>
        <w:t>Povećanje obveza u izvještajnom razdoblju iznosi 2.520.724,25 €, a isto se sastoji od obveza za rashode poslovanja i obveza za nabavu nefinancijske imovine, dok je početno stanje 01.01.2025. godine 1.960.287,39 € što čini ukupno 4.481.011,64 € obveza. U izvještajnom razdoblju podmirene su obveze u ukupnom iznosu od 2.723.949,82 € te na kraju izvještajnog razdoblja tj. sa 31.12.2025. godine stanje obveza iznosi 1.757.061,82 €.  Dospjele obveze za rashode poslovanja i nabavu nefinancijske imovine na kraju izvještajnog razdoblja su evidentirane u iznosu od 14.703,05 € zbog nedostatka računa po usklađenju, dok iznos nedospjelih obveza iznosi 1.742.358,77 € i to za obveze za rashode poslovanja, nabavu nefinancijske imovine, obveze za financijsku imovinu i obveze za predujmove, depozite, jamčevne pologe i tuđe prihode.</w:t>
      </w:r>
    </w:p>
    <w:p w14:paraId="4F76C1B8" w14:textId="77777777" w:rsidR="005A477A" w:rsidRDefault="005A477A">
      <w:pPr>
        <w:spacing w:line="240" w:lineRule="auto"/>
        <w:jc w:val="both"/>
      </w:pPr>
    </w:p>
    <w:p w14:paraId="19F29DFE" w14:textId="77777777" w:rsidR="005A477A" w:rsidRDefault="00000000">
      <w:pPr>
        <w:keepNext/>
        <w:spacing w:line="240" w:lineRule="auto"/>
        <w:jc w:val="center"/>
        <w:rPr>
          <w:b/>
        </w:rPr>
      </w:pPr>
      <w:r>
        <w:rPr>
          <w:b/>
        </w:rPr>
        <w:t>EU izvještaj</w:t>
      </w:r>
    </w:p>
    <w:p w14:paraId="0BA3CD34" w14:textId="77777777" w:rsidR="005A477A" w:rsidRDefault="005A477A"/>
    <w:p w14:paraId="2603F2A6" w14:textId="77777777" w:rsidR="005A477A" w:rsidRDefault="00000000">
      <w:pPr>
        <w:keepNext/>
        <w:spacing w:line="240" w:lineRule="auto"/>
        <w:jc w:val="center"/>
      </w:pPr>
      <w:r>
        <w:t>Bilješka 38.</w:t>
      </w:r>
    </w:p>
    <w:p w14:paraId="00808AF9" w14:textId="77777777" w:rsidR="005A477A" w:rsidRDefault="00000000">
      <w:pPr>
        <w:keepNext/>
        <w:numPr>
          <w:ilvl w:val="0"/>
          <w:numId w:val="15"/>
        </w:numPr>
        <w:spacing w:line="240" w:lineRule="auto"/>
        <w:rPr>
          <w:b/>
          <w:bCs/>
        </w:rPr>
      </w:pPr>
      <w:r>
        <w:rPr>
          <w:b/>
          <w:bCs/>
        </w:rPr>
        <w:t>PRIHODI POSLOVANJA (šifre 631+632+638+639+671)</w:t>
      </w:r>
    </w:p>
    <w:p w14:paraId="5E601C91" w14:textId="77777777" w:rsidR="005A477A" w:rsidRDefault="00000000">
      <w:pPr>
        <w:keepNext/>
        <w:spacing w:line="240" w:lineRule="auto"/>
      </w:pPr>
      <w:r>
        <w:t xml:space="preserve">Prihodi poslovanja Općine Punat iz nacionalnog sufinanciranja ostvareni su u iznosu od 45.790,30 € te nisu bili zabilježeni tijekom 2024. godine. Odnose se na kapitalne pomoći iz </w:t>
      </w:r>
      <w:r>
        <w:lastRenderedPageBreak/>
        <w:t>državnog proračuna (KD Črnika održavanje javnih i zelenih površina, projekt KC Punat, dodatna ulaganja na građevinskim projektima - LED display, Stari Toš, trening za trenere - Udrga Obala naših unuka).</w:t>
      </w:r>
    </w:p>
    <w:p w14:paraId="2834C3AA" w14:textId="77777777" w:rsidR="005A477A" w:rsidRDefault="005A477A">
      <w:pPr>
        <w:spacing w:line="240" w:lineRule="auto"/>
        <w:jc w:val="both"/>
      </w:pPr>
    </w:p>
    <w:p w14:paraId="0B431FA9" w14:textId="77777777" w:rsidR="005A477A" w:rsidRDefault="00000000">
      <w:pPr>
        <w:keepNext/>
        <w:spacing w:line="240" w:lineRule="auto"/>
        <w:jc w:val="center"/>
      </w:pPr>
      <w:r>
        <w:t>Bilješka 38.</w:t>
      </w:r>
    </w:p>
    <w:p w14:paraId="29225423" w14:textId="77777777" w:rsidR="005A477A" w:rsidRDefault="00000000">
      <w:pPr>
        <w:keepNext/>
        <w:numPr>
          <w:ilvl w:val="0"/>
          <w:numId w:val="21"/>
        </w:numPr>
        <w:spacing w:line="240" w:lineRule="auto"/>
        <w:rPr>
          <w:b/>
          <w:bCs/>
        </w:rPr>
      </w:pPr>
      <w:r>
        <w:rPr>
          <w:b/>
          <w:bCs/>
        </w:rPr>
        <w:t xml:space="preserve">RASHODI POSLOVANJA (šifre 31+32+34+35+36+37+38) </w:t>
      </w:r>
    </w:p>
    <w:p w14:paraId="25028FF8" w14:textId="77777777" w:rsidR="005A477A" w:rsidRDefault="00000000">
      <w:pPr>
        <w:keepNext/>
        <w:spacing w:line="240" w:lineRule="auto"/>
      </w:pPr>
      <w:r>
        <w:t>Rashodi poslovanja Općine Punat iz nacionalnog sufinanciranja ostvareni su u iznosu od 5.595,00 € te nisu bili zabilježeni tijekom 2024. godine. Odnose se na službena putovanja u iznosu od 2.000,00 € i usluga tekućeg i investicijskog održavanja u iznosu od 3.595,00 €.</w:t>
      </w:r>
    </w:p>
    <w:p w14:paraId="6E59DAFB" w14:textId="77777777" w:rsidR="005A477A" w:rsidRDefault="005A477A"/>
    <w:p w14:paraId="0832D0BD" w14:textId="77777777" w:rsidR="005A477A" w:rsidRDefault="00000000">
      <w:pPr>
        <w:keepNext/>
        <w:spacing w:line="240" w:lineRule="auto"/>
        <w:jc w:val="center"/>
      </w:pPr>
      <w:r>
        <w:t>Bilješka 39.</w:t>
      </w:r>
    </w:p>
    <w:p w14:paraId="207E9863" w14:textId="77777777" w:rsidR="005A477A" w:rsidRDefault="00000000">
      <w:pPr>
        <w:keepNext/>
        <w:numPr>
          <w:ilvl w:val="0"/>
          <w:numId w:val="21"/>
        </w:numPr>
        <w:spacing w:line="240" w:lineRule="auto"/>
        <w:rPr>
          <w:b/>
          <w:bCs/>
        </w:rPr>
      </w:pPr>
      <w:r>
        <w:rPr>
          <w:b/>
          <w:bCs/>
        </w:rPr>
        <w:t>Rashodi za nabavu nefinancijske imovine (šifre 41+42+43+44+45)</w:t>
      </w:r>
    </w:p>
    <w:p w14:paraId="33A8CA82" w14:textId="77777777" w:rsidR="005A477A" w:rsidRDefault="00000000">
      <w:pPr>
        <w:keepNext/>
        <w:spacing w:line="240" w:lineRule="auto"/>
      </w:pPr>
      <w:r>
        <w:t>Rashodi za nabavu nefinancijske imovine Općine Punat ostvareni su u iznosu od 38.406,31 € te nisu bili zabilježeni tijekom 2024. godine. Odnose se na nematerijalnu proizvedenu imovinu u iznosu od 23.068,81 € i rashoda za dodatna ulaganja na građevinskim objektima u iznosu od 15.337,50 €.</w:t>
      </w:r>
    </w:p>
    <w:p w14:paraId="6D6DAE12" w14:textId="77777777" w:rsidR="005A477A" w:rsidRDefault="005A477A"/>
    <w:sectPr w:rsidR="005A4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7CE81" w14:textId="77777777" w:rsidR="00EC2E6F" w:rsidRDefault="00EC2E6F">
      <w:pPr>
        <w:spacing w:line="240" w:lineRule="auto"/>
      </w:pPr>
      <w:r>
        <w:separator/>
      </w:r>
    </w:p>
  </w:endnote>
  <w:endnote w:type="continuationSeparator" w:id="0">
    <w:p w14:paraId="36CA4E95" w14:textId="77777777" w:rsidR="00EC2E6F" w:rsidRDefault="00EC2E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60E95" w14:textId="77777777" w:rsidR="00EC2E6F" w:rsidRDefault="00EC2E6F">
      <w:pPr>
        <w:spacing w:after="0"/>
      </w:pPr>
      <w:r>
        <w:separator/>
      </w:r>
    </w:p>
  </w:footnote>
  <w:footnote w:type="continuationSeparator" w:id="0">
    <w:p w14:paraId="0D8D3ACE" w14:textId="77777777" w:rsidR="00EC2E6F" w:rsidRDefault="00EC2E6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E8D244"/>
    <w:multiLevelType w:val="singleLevel"/>
    <w:tmpl w:val="89E8D244"/>
    <w:lvl w:ilvl="0">
      <w:start w:val="363"/>
      <w:numFmt w:val="decimal"/>
      <w:lvlText w:val="%1"/>
      <w:lvlJc w:val="left"/>
    </w:lvl>
  </w:abstractNum>
  <w:abstractNum w:abstractNumId="1" w15:restartNumberingAfterBreak="0">
    <w:nsid w:val="8FB207C4"/>
    <w:multiLevelType w:val="singleLevel"/>
    <w:tmpl w:val="8FB207C4"/>
    <w:lvl w:ilvl="0">
      <w:start w:val="7"/>
      <w:numFmt w:val="decimal"/>
      <w:lvlText w:val="%1"/>
      <w:lvlJc w:val="left"/>
    </w:lvl>
  </w:abstractNum>
  <w:abstractNum w:abstractNumId="2" w15:restartNumberingAfterBreak="0">
    <w:nsid w:val="9F5BD846"/>
    <w:multiLevelType w:val="singleLevel"/>
    <w:tmpl w:val="9F5BD846"/>
    <w:lvl w:ilvl="0">
      <w:start w:val="426"/>
      <w:numFmt w:val="decimal"/>
      <w:lvlText w:val="%1"/>
      <w:lvlJc w:val="left"/>
    </w:lvl>
  </w:abstractNum>
  <w:abstractNum w:abstractNumId="3" w15:restartNumberingAfterBreak="0">
    <w:nsid w:val="A04AD4F0"/>
    <w:multiLevelType w:val="singleLevel"/>
    <w:tmpl w:val="A04AD4F0"/>
    <w:lvl w:ilvl="0">
      <w:start w:val="34"/>
      <w:numFmt w:val="decimal"/>
      <w:lvlText w:val="%1"/>
      <w:lvlJc w:val="left"/>
    </w:lvl>
  </w:abstractNum>
  <w:abstractNum w:abstractNumId="4" w15:restartNumberingAfterBreak="0">
    <w:nsid w:val="B8B7AA1A"/>
    <w:multiLevelType w:val="singleLevel"/>
    <w:tmpl w:val="B8B7AA1A"/>
    <w:lvl w:ilvl="0">
      <w:start w:val="532"/>
      <w:numFmt w:val="decimal"/>
      <w:lvlText w:val="%1"/>
      <w:lvlJc w:val="left"/>
    </w:lvl>
  </w:abstractNum>
  <w:abstractNum w:abstractNumId="5" w15:restartNumberingAfterBreak="0">
    <w:nsid w:val="BA54B9E0"/>
    <w:multiLevelType w:val="singleLevel"/>
    <w:tmpl w:val="BA54B9E0"/>
    <w:lvl w:ilvl="0">
      <w:start w:val="632"/>
      <w:numFmt w:val="decimal"/>
      <w:lvlText w:val="%1"/>
      <w:lvlJc w:val="left"/>
    </w:lvl>
  </w:abstractNum>
  <w:abstractNum w:abstractNumId="6" w15:restartNumberingAfterBreak="0">
    <w:nsid w:val="BAC30BD3"/>
    <w:multiLevelType w:val="singleLevel"/>
    <w:tmpl w:val="BAC30BD3"/>
    <w:lvl w:ilvl="0">
      <w:start w:val="8"/>
      <w:numFmt w:val="decimal"/>
      <w:lvlText w:val="%1"/>
      <w:lvlJc w:val="left"/>
    </w:lvl>
  </w:abstractNum>
  <w:abstractNum w:abstractNumId="7" w15:restartNumberingAfterBreak="0">
    <w:nsid w:val="BC01DF8C"/>
    <w:multiLevelType w:val="singleLevel"/>
    <w:tmpl w:val="BC01DF8C"/>
    <w:lvl w:ilvl="0">
      <w:start w:val="26"/>
      <w:numFmt w:val="decimal"/>
      <w:lvlText w:val="%1"/>
      <w:lvlJc w:val="left"/>
    </w:lvl>
  </w:abstractNum>
  <w:abstractNum w:abstractNumId="8" w15:restartNumberingAfterBreak="0">
    <w:nsid w:val="BF1B509D"/>
    <w:multiLevelType w:val="singleLevel"/>
    <w:tmpl w:val="BF1B509D"/>
    <w:lvl w:ilvl="0">
      <w:start w:val="638"/>
      <w:numFmt w:val="decimal"/>
      <w:lvlText w:val="%1"/>
      <w:lvlJc w:val="left"/>
    </w:lvl>
  </w:abstractNum>
  <w:abstractNum w:abstractNumId="9" w15:restartNumberingAfterBreak="0">
    <w:nsid w:val="C14F6B28"/>
    <w:multiLevelType w:val="singleLevel"/>
    <w:tmpl w:val="C14F6B28"/>
    <w:lvl w:ilvl="0">
      <w:start w:val="683"/>
      <w:numFmt w:val="decimal"/>
      <w:lvlText w:val="%1"/>
      <w:lvlJc w:val="left"/>
    </w:lvl>
  </w:abstractNum>
  <w:abstractNum w:abstractNumId="10" w15:restartNumberingAfterBreak="0">
    <w:nsid w:val="C2A4EC3F"/>
    <w:multiLevelType w:val="singleLevel"/>
    <w:tmpl w:val="C2A4EC3F"/>
    <w:lvl w:ilvl="0">
      <w:start w:val="611"/>
      <w:numFmt w:val="decimal"/>
      <w:lvlText w:val="%1"/>
      <w:lvlJc w:val="left"/>
    </w:lvl>
  </w:abstractNum>
  <w:abstractNum w:abstractNumId="11" w15:restartNumberingAfterBreak="0">
    <w:nsid w:val="CF600A26"/>
    <w:multiLevelType w:val="singleLevel"/>
    <w:tmpl w:val="CF600A26"/>
    <w:lvl w:ilvl="0">
      <w:start w:val="3"/>
      <w:numFmt w:val="decimal"/>
      <w:lvlText w:val="%1"/>
      <w:lvlJc w:val="left"/>
    </w:lvl>
  </w:abstractNum>
  <w:abstractNum w:abstractNumId="12" w15:restartNumberingAfterBreak="0">
    <w:nsid w:val="D7ED3AA4"/>
    <w:multiLevelType w:val="singleLevel"/>
    <w:tmpl w:val="D7ED3AA4"/>
    <w:lvl w:ilvl="0">
      <w:start w:val="451"/>
      <w:numFmt w:val="decimal"/>
      <w:lvlText w:val="%1"/>
      <w:lvlJc w:val="left"/>
    </w:lvl>
  </w:abstractNum>
  <w:abstractNum w:abstractNumId="13" w15:restartNumberingAfterBreak="0">
    <w:nsid w:val="DBFF42F9"/>
    <w:multiLevelType w:val="singleLevel"/>
    <w:tmpl w:val="DBFF42F9"/>
    <w:lvl w:ilvl="0">
      <w:start w:val="421"/>
      <w:numFmt w:val="decimal"/>
      <w:lvlText w:val="%1"/>
      <w:lvlJc w:val="left"/>
    </w:lvl>
  </w:abstractNum>
  <w:abstractNum w:abstractNumId="14" w15:restartNumberingAfterBreak="0">
    <w:nsid w:val="E6CE7233"/>
    <w:multiLevelType w:val="singleLevel"/>
    <w:tmpl w:val="E6CE7233"/>
    <w:lvl w:ilvl="0">
      <w:start w:val="25"/>
      <w:numFmt w:val="decimal"/>
      <w:lvlText w:val="%1"/>
      <w:lvlJc w:val="left"/>
    </w:lvl>
  </w:abstractNum>
  <w:abstractNum w:abstractNumId="15" w15:restartNumberingAfterBreak="0">
    <w:nsid w:val="27B79EE1"/>
    <w:multiLevelType w:val="singleLevel"/>
    <w:tmpl w:val="27B79EE1"/>
    <w:lvl w:ilvl="0">
      <w:start w:val="642"/>
      <w:numFmt w:val="decimal"/>
      <w:lvlText w:val="%1"/>
      <w:lvlJc w:val="left"/>
    </w:lvl>
  </w:abstractNum>
  <w:abstractNum w:abstractNumId="16" w15:restartNumberingAfterBreak="0">
    <w:nsid w:val="400CBCD8"/>
    <w:multiLevelType w:val="singleLevel"/>
    <w:tmpl w:val="400CBCD8"/>
    <w:lvl w:ilvl="0">
      <w:start w:val="681"/>
      <w:numFmt w:val="decimal"/>
      <w:lvlText w:val="%1"/>
      <w:lvlJc w:val="left"/>
    </w:lvl>
  </w:abstractNum>
  <w:abstractNum w:abstractNumId="17" w15:restartNumberingAfterBreak="0">
    <w:nsid w:val="430D5C62"/>
    <w:multiLevelType w:val="singleLevel"/>
    <w:tmpl w:val="430D5C62"/>
    <w:lvl w:ilvl="0">
      <w:start w:val="382"/>
      <w:numFmt w:val="decimal"/>
      <w:lvlText w:val="%1"/>
      <w:lvlJc w:val="left"/>
    </w:lvl>
  </w:abstractNum>
  <w:abstractNum w:abstractNumId="18" w15:restartNumberingAfterBreak="0">
    <w:nsid w:val="50EEC1AD"/>
    <w:multiLevelType w:val="singleLevel"/>
    <w:tmpl w:val="50EEC1AD"/>
    <w:lvl w:ilvl="0">
      <w:start w:val="11"/>
      <w:numFmt w:val="decimal"/>
      <w:lvlText w:val="%1"/>
      <w:lvlJc w:val="left"/>
    </w:lvl>
  </w:abstractNum>
  <w:abstractNum w:abstractNumId="19" w15:restartNumberingAfterBreak="0">
    <w:nsid w:val="600FFF28"/>
    <w:multiLevelType w:val="singleLevel"/>
    <w:tmpl w:val="600FFF28"/>
    <w:lvl w:ilvl="0">
      <w:start w:val="383"/>
      <w:numFmt w:val="decimal"/>
      <w:lvlText w:val="%1"/>
      <w:lvlJc w:val="left"/>
    </w:lvl>
  </w:abstractNum>
  <w:abstractNum w:abstractNumId="20" w15:restartNumberingAfterBreak="0">
    <w:nsid w:val="6BA2E234"/>
    <w:multiLevelType w:val="singleLevel"/>
    <w:tmpl w:val="6BA2E234"/>
    <w:lvl w:ilvl="0">
      <w:start w:val="5"/>
      <w:numFmt w:val="decimal"/>
      <w:lvlText w:val="%1"/>
      <w:lvlJc w:val="left"/>
    </w:lvl>
  </w:abstractNum>
  <w:num w:numId="1" w16cid:durableId="2093044933">
    <w:abstractNumId w:val="10"/>
  </w:num>
  <w:num w:numId="2" w16cid:durableId="1601988965">
    <w:abstractNumId w:val="5"/>
  </w:num>
  <w:num w:numId="3" w16cid:durableId="1328090336">
    <w:abstractNumId w:val="8"/>
  </w:num>
  <w:num w:numId="4" w16cid:durableId="970669701">
    <w:abstractNumId w:val="15"/>
  </w:num>
  <w:num w:numId="5" w16cid:durableId="1568372423">
    <w:abstractNumId w:val="16"/>
  </w:num>
  <w:num w:numId="6" w16cid:durableId="1954827570">
    <w:abstractNumId w:val="9"/>
  </w:num>
  <w:num w:numId="7" w16cid:durableId="1769277838">
    <w:abstractNumId w:val="1"/>
  </w:num>
  <w:num w:numId="8" w16cid:durableId="850609205">
    <w:abstractNumId w:val="3"/>
  </w:num>
  <w:num w:numId="9" w16cid:durableId="2022857292">
    <w:abstractNumId w:val="0"/>
  </w:num>
  <w:num w:numId="10" w16cid:durableId="885139420">
    <w:abstractNumId w:val="17"/>
  </w:num>
  <w:num w:numId="11" w16cid:durableId="331179512">
    <w:abstractNumId w:val="19"/>
  </w:num>
  <w:num w:numId="12" w16cid:durableId="216167871">
    <w:abstractNumId w:val="13"/>
  </w:num>
  <w:num w:numId="13" w16cid:durableId="1808013940">
    <w:abstractNumId w:val="2"/>
  </w:num>
  <w:num w:numId="14" w16cid:durableId="2058163189">
    <w:abstractNumId w:val="12"/>
  </w:num>
  <w:num w:numId="15" w16cid:durableId="606737550">
    <w:abstractNumId w:val="20"/>
  </w:num>
  <w:num w:numId="16" w16cid:durableId="126551750">
    <w:abstractNumId w:val="4"/>
  </w:num>
  <w:num w:numId="17" w16cid:durableId="1615358451">
    <w:abstractNumId w:val="18"/>
  </w:num>
  <w:num w:numId="18" w16cid:durableId="987898653">
    <w:abstractNumId w:val="14"/>
  </w:num>
  <w:num w:numId="19" w16cid:durableId="520625723">
    <w:abstractNumId w:val="7"/>
  </w:num>
  <w:num w:numId="20" w16cid:durableId="1925719079">
    <w:abstractNumId w:val="6"/>
  </w:num>
  <w:num w:numId="21" w16cid:durableId="13261308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154"/>
    <w:rsid w:val="00184DF7"/>
    <w:rsid w:val="00443137"/>
    <w:rsid w:val="00566C8F"/>
    <w:rsid w:val="005A477A"/>
    <w:rsid w:val="005F5154"/>
    <w:rsid w:val="0062354D"/>
    <w:rsid w:val="009A57DD"/>
    <w:rsid w:val="00A432FE"/>
    <w:rsid w:val="00AB7F37"/>
    <w:rsid w:val="00BB0263"/>
    <w:rsid w:val="00EC2E6F"/>
    <w:rsid w:val="00F24EC2"/>
    <w:rsid w:val="00F977D9"/>
    <w:rsid w:val="00FE5FF6"/>
    <w:rsid w:val="017161FC"/>
    <w:rsid w:val="02131A25"/>
    <w:rsid w:val="023D18FD"/>
    <w:rsid w:val="034D455D"/>
    <w:rsid w:val="039667A9"/>
    <w:rsid w:val="043717A0"/>
    <w:rsid w:val="04835883"/>
    <w:rsid w:val="049477DA"/>
    <w:rsid w:val="080E01AD"/>
    <w:rsid w:val="08290D98"/>
    <w:rsid w:val="09915702"/>
    <w:rsid w:val="0B454D02"/>
    <w:rsid w:val="0CA5412A"/>
    <w:rsid w:val="0E496692"/>
    <w:rsid w:val="0F2C580B"/>
    <w:rsid w:val="0F3E5611"/>
    <w:rsid w:val="0F626DA7"/>
    <w:rsid w:val="10BA67DA"/>
    <w:rsid w:val="12583E45"/>
    <w:rsid w:val="13CD63B6"/>
    <w:rsid w:val="14F5469F"/>
    <w:rsid w:val="16ED5670"/>
    <w:rsid w:val="176F0992"/>
    <w:rsid w:val="1AB8430A"/>
    <w:rsid w:val="1BB834D8"/>
    <w:rsid w:val="1C3A271C"/>
    <w:rsid w:val="1D9451ED"/>
    <w:rsid w:val="1DA353B1"/>
    <w:rsid w:val="1DC36CC0"/>
    <w:rsid w:val="1F6220A4"/>
    <w:rsid w:val="1FF6033D"/>
    <w:rsid w:val="21F37335"/>
    <w:rsid w:val="22E001CD"/>
    <w:rsid w:val="258D3EC3"/>
    <w:rsid w:val="29224DCC"/>
    <w:rsid w:val="29283378"/>
    <w:rsid w:val="2984479D"/>
    <w:rsid w:val="2AF72C1D"/>
    <w:rsid w:val="2B447184"/>
    <w:rsid w:val="2CBE0D4F"/>
    <w:rsid w:val="2E552832"/>
    <w:rsid w:val="2F3C4321"/>
    <w:rsid w:val="2FC36614"/>
    <w:rsid w:val="30423B01"/>
    <w:rsid w:val="322B7739"/>
    <w:rsid w:val="324C0F0A"/>
    <w:rsid w:val="327160B4"/>
    <w:rsid w:val="3595798A"/>
    <w:rsid w:val="35DA3632"/>
    <w:rsid w:val="37E679B4"/>
    <w:rsid w:val="3A165B12"/>
    <w:rsid w:val="3AC44980"/>
    <w:rsid w:val="3AE639E1"/>
    <w:rsid w:val="3D682B84"/>
    <w:rsid w:val="3D9138B6"/>
    <w:rsid w:val="3FBE1DD5"/>
    <w:rsid w:val="3FD21095"/>
    <w:rsid w:val="404510CE"/>
    <w:rsid w:val="406E69AA"/>
    <w:rsid w:val="42310D71"/>
    <w:rsid w:val="44C7063B"/>
    <w:rsid w:val="45D93BB1"/>
    <w:rsid w:val="45EF6800"/>
    <w:rsid w:val="47123CEF"/>
    <w:rsid w:val="473A77AC"/>
    <w:rsid w:val="47DC2472"/>
    <w:rsid w:val="48CA641F"/>
    <w:rsid w:val="491D610E"/>
    <w:rsid w:val="498E7676"/>
    <w:rsid w:val="4BD4154F"/>
    <w:rsid w:val="4FFA21B8"/>
    <w:rsid w:val="50CE2099"/>
    <w:rsid w:val="516B1E11"/>
    <w:rsid w:val="51930226"/>
    <w:rsid w:val="520E1EBC"/>
    <w:rsid w:val="53D74D90"/>
    <w:rsid w:val="553A6DFA"/>
    <w:rsid w:val="58E364D5"/>
    <w:rsid w:val="59670398"/>
    <w:rsid w:val="5A177E3E"/>
    <w:rsid w:val="5A182F13"/>
    <w:rsid w:val="5A537FDD"/>
    <w:rsid w:val="5C3A2E26"/>
    <w:rsid w:val="5D411131"/>
    <w:rsid w:val="5EFA674A"/>
    <w:rsid w:val="6133379E"/>
    <w:rsid w:val="61612AA2"/>
    <w:rsid w:val="6175118B"/>
    <w:rsid w:val="63CC208F"/>
    <w:rsid w:val="64312390"/>
    <w:rsid w:val="644A4011"/>
    <w:rsid w:val="68172A9B"/>
    <w:rsid w:val="68E72DF2"/>
    <w:rsid w:val="69395D19"/>
    <w:rsid w:val="69832B0B"/>
    <w:rsid w:val="6A47361A"/>
    <w:rsid w:val="6A643061"/>
    <w:rsid w:val="6C655BDB"/>
    <w:rsid w:val="6D1611A1"/>
    <w:rsid w:val="6D5712E1"/>
    <w:rsid w:val="6F121FF1"/>
    <w:rsid w:val="6F331CFD"/>
    <w:rsid w:val="7124206F"/>
    <w:rsid w:val="71A4314A"/>
    <w:rsid w:val="73B61DD8"/>
    <w:rsid w:val="73D54DC6"/>
    <w:rsid w:val="745B7D5D"/>
    <w:rsid w:val="75FF068A"/>
    <w:rsid w:val="77D715A4"/>
    <w:rsid w:val="799135D1"/>
    <w:rsid w:val="7B4D3CAD"/>
    <w:rsid w:val="7B706ED4"/>
    <w:rsid w:val="7B7D212C"/>
    <w:rsid w:val="7E061DC2"/>
    <w:rsid w:val="7E205387"/>
    <w:rsid w:val="7ED2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657D7"/>
  <w15:docId w15:val="{15132E09-6F50-485E-8D05-53BFD8816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rFonts w:eastAsiaTheme="minorEastAsia" w:cstheme="minorBidi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3269</Words>
  <Characters>18634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Vedrana Brusić</cp:lastModifiedBy>
  <cp:revision>2</cp:revision>
  <dcterms:created xsi:type="dcterms:W3CDTF">2026-02-13T13:14:00Z</dcterms:created>
  <dcterms:modified xsi:type="dcterms:W3CDTF">2026-02-13T13:14:00Z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D1561B7EA54C4E2CB845EC701257E526_13</vt:lpwstr>
  </property>
</Properties>
</file>