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4"/>
        <w:gridCol w:w="1654"/>
        <w:gridCol w:w="4614"/>
      </w:tblGrid>
      <w:tr w:rsidR="00105140" w:rsidRPr="0019200F" w14:paraId="354B110F" w14:textId="77777777" w:rsidTr="004A49D5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tcMar>
              <w:left w:w="108" w:type="dxa"/>
              <w:right w:w="108" w:type="dxa"/>
            </w:tcMar>
          </w:tcPr>
          <w:p w14:paraId="4E8780FE" w14:textId="77777777" w:rsidR="00105140" w:rsidRPr="0019200F" w:rsidRDefault="00105140" w:rsidP="004A49D5">
            <w:pPr>
              <w:spacing w:before="41" w:after="0" w:line="257" w:lineRule="auto"/>
              <w:ind w:left="4152" w:right="4132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OBRAZAC</w:t>
            </w:r>
          </w:p>
          <w:p w14:paraId="3F6C7BA5" w14:textId="77777777" w:rsidR="00105140" w:rsidRPr="0019200F" w:rsidRDefault="00105140" w:rsidP="004A49D5">
            <w:pPr>
              <w:spacing w:after="0" w:line="257" w:lineRule="auto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IZVJEŠĆA O PROVEDENOM SAVJETOVANJU SA ZAINTERESIRANOM</w:t>
            </w:r>
          </w:p>
          <w:p w14:paraId="3FD04DF2" w14:textId="77777777" w:rsidR="00105140" w:rsidRPr="0019200F" w:rsidRDefault="00105140" w:rsidP="004A49D5">
            <w:pPr>
              <w:spacing w:after="0" w:line="257" w:lineRule="auto"/>
              <w:ind w:left="849" w:right="828"/>
              <w:jc w:val="center"/>
              <w:rPr>
                <w:rFonts w:ascii="Garamond" w:hAnsi="Garamond"/>
                <w:sz w:val="24"/>
                <w:szCs w:val="24"/>
              </w:rPr>
            </w:pPr>
            <w:r w:rsidRPr="0019200F">
              <w:rPr>
                <w:rFonts w:ascii="Garamond" w:eastAsia="Calibri" w:hAnsi="Garamond" w:cs="Calibri"/>
                <w:b/>
                <w:bCs/>
                <w:color w:val="FFFFFF" w:themeColor="background1"/>
                <w:sz w:val="24"/>
                <w:szCs w:val="24"/>
                <w:lang w:val="en-US"/>
              </w:rPr>
              <w:t>JAVNOŠĆU</w:t>
            </w:r>
          </w:p>
        </w:tc>
      </w:tr>
      <w:tr w:rsidR="00105140" w:rsidRPr="004D0688" w14:paraId="31A99939" w14:textId="77777777" w:rsidTr="004A49D5">
        <w:trPr>
          <w:trHeight w:val="69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BDA459E" w14:textId="77777777" w:rsidR="00105140" w:rsidRPr="004D0688" w:rsidRDefault="00105140" w:rsidP="004A49D5">
            <w:pPr>
              <w:spacing w:before="8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1FAD77B9" w14:textId="77777777" w:rsidR="00105140" w:rsidRPr="004D0688" w:rsidRDefault="00105140" w:rsidP="004A49D5">
            <w:pPr>
              <w:spacing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  <w:r w:rsidRPr="004D0688">
              <w:rPr>
                <w:rFonts w:ascii="Garamond" w:hAnsi="Garamond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Naslov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3C58D1F" w14:textId="77777777" w:rsidR="00E8063E" w:rsidRPr="001F49D6" w:rsidRDefault="00E8063E" w:rsidP="00E8063E">
            <w:pPr>
              <w:spacing w:after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eastAsia="Myriad Pro" w:hAnsi="Garamond" w:cs="Myriad Pro"/>
                <w:color w:val="231F20"/>
              </w:rPr>
              <w:t xml:space="preserve">Evidencija komunalne infrastrukture na području Općine Punat </w:t>
            </w:r>
            <w:r>
              <w:rPr>
                <w:rFonts w:ascii="Garamond" w:hAnsi="Garamond" w:cs="Arial"/>
                <w:bCs/>
              </w:rPr>
              <w:t xml:space="preserve"> te integracija</w:t>
            </w:r>
            <w:r w:rsidRPr="0050571B">
              <w:rPr>
                <w:rFonts w:ascii="Garamond" w:hAnsi="Garamond" w:cs="Arial"/>
                <w:bCs/>
              </w:rPr>
              <w:t xml:space="preserve"> u novi GIS sustav Općine Punat</w:t>
            </w:r>
            <w:r w:rsidRPr="00896035">
              <w:rPr>
                <w:rFonts w:ascii="Arial" w:hAnsi="Arial" w:cs="Arial"/>
                <w:bCs/>
                <w:sz w:val="33"/>
                <w:szCs w:val="33"/>
              </w:rPr>
              <w:t>.</w:t>
            </w:r>
          </w:p>
          <w:p w14:paraId="5CD6A5F5" w14:textId="555C5F6C" w:rsidR="00105140" w:rsidRPr="004D0688" w:rsidRDefault="00105140" w:rsidP="004A49D5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lang w:val="en-US"/>
              </w:rPr>
            </w:pPr>
          </w:p>
        </w:tc>
      </w:tr>
      <w:tr w:rsidR="00105140" w:rsidRPr="004D0688" w14:paraId="65F74414" w14:textId="77777777" w:rsidTr="004A49D5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267E4CA" w14:textId="77777777" w:rsidR="00105140" w:rsidRPr="004D0688" w:rsidRDefault="00105140" w:rsidP="004A49D5">
            <w:pPr>
              <w:spacing w:before="37" w:after="0" w:line="257" w:lineRule="auto"/>
              <w:ind w:left="108" w:right="609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Stvaratelj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dokumenta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,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tijelo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koje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provodi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savjetovanje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6C1055A" w14:textId="77777777" w:rsidR="00105140" w:rsidRPr="004D0688" w:rsidRDefault="00105140" w:rsidP="004A49D5">
            <w:pPr>
              <w:spacing w:before="37" w:after="0" w:line="257" w:lineRule="auto"/>
              <w:ind w:right="991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Općina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Punat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,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Jedinstveni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upravni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odjel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Općine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Punat</w:t>
            </w:r>
            <w:proofErr w:type="spellEnd"/>
          </w:p>
        </w:tc>
      </w:tr>
      <w:tr w:rsidR="00E8063E" w:rsidRPr="004D0688" w14:paraId="2C83BE31" w14:textId="77777777" w:rsidTr="00105140">
        <w:trPr>
          <w:trHeight w:val="191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9FBB32B" w14:textId="77777777" w:rsidR="00E8063E" w:rsidRPr="004D0688" w:rsidRDefault="00E8063E" w:rsidP="00E8063E">
            <w:pPr>
              <w:spacing w:before="8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281554C9" w14:textId="77777777" w:rsidR="00E8063E" w:rsidRPr="004D0688" w:rsidRDefault="00E8063E" w:rsidP="00E8063E">
            <w:pPr>
              <w:spacing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55626687" w14:textId="77777777" w:rsidR="00E8063E" w:rsidRPr="004D0688" w:rsidRDefault="00E8063E" w:rsidP="00E8063E">
            <w:pPr>
              <w:spacing w:after="0" w:line="257" w:lineRule="auto"/>
              <w:ind w:left="108" w:right="-20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Svrha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A1B24F2" w14:textId="77777777" w:rsidR="00E8063E" w:rsidRDefault="00E8063E" w:rsidP="00E8063E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</w:p>
          <w:p w14:paraId="1E65211F" w14:textId="77777777" w:rsidR="00E8063E" w:rsidRDefault="00E8063E" w:rsidP="00E8063E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</w:rPr>
              <w:t xml:space="preserve">Komunalna infrastruktura je javno dobro u općoj uporabi u vlasništvu odnosno suvlasništvu jedinice lokalne samouprave i/ili osobe koja obavlja komunalnu djelatnost. Komunalnu </w:t>
            </w:r>
            <w:proofErr w:type="spellStart"/>
            <w:r>
              <w:rPr>
                <w:rFonts w:ascii="Garamond" w:eastAsia="Myriad Pro" w:hAnsi="Garamond" w:cs="Myriad Pro"/>
              </w:rPr>
              <w:t>ifrastrukturu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čine </w:t>
            </w:r>
            <w:proofErr w:type="spellStart"/>
            <w:r>
              <w:rPr>
                <w:rFonts w:ascii="Garamond" w:eastAsia="Myriad Pro" w:hAnsi="Garamond" w:cs="Myriad Pro"/>
              </w:rPr>
              <w:t>nerazvrstanie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ceste, javne prometne površine na kojima nije dopušten promet motornim vozilima, javna parkirališta, javne zelene površine, građevine i uređaji javne namjene, javna rasvjeta, groblja i krematoriji te građevine namijenjene obavljanju javnog prijevoza te se evidencija iste izrađuje temeljem Zakona o komunalnom gospodarstvu (NN broj: 66/18, 110/18, 32/20, 145/24).</w:t>
            </w:r>
          </w:p>
          <w:p w14:paraId="28B4677F" w14:textId="77777777" w:rsidR="00E8063E" w:rsidRDefault="00E8063E" w:rsidP="00E8063E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</w:p>
          <w:p w14:paraId="2BF346AF" w14:textId="77777777" w:rsidR="00E8063E" w:rsidRDefault="00E8063E" w:rsidP="00E8063E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</w:rPr>
              <w:t xml:space="preserve">U mjesecu listopadu 2024. godine izvršen je pregled terena radi prikupljanja informacija, nakon čega je </w:t>
            </w:r>
            <w:proofErr w:type="spellStart"/>
            <w:r>
              <w:rPr>
                <w:rFonts w:ascii="Garamond" w:eastAsia="Myriad Pro" w:hAnsi="Garamond" w:cs="Myriad Pro"/>
              </w:rPr>
              <w:t>pristupljeno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izradi evidencije komunalne infrastrukture izrađen po Digitalni prostor d.o.o., Rijeka, Milutina Barača 7. Podaci su integrirani u geografski informacijski sustav (GIS), sustav za prikupljanje, upravljanje i analizu podataka. </w:t>
            </w:r>
          </w:p>
          <w:p w14:paraId="2EEB6F5B" w14:textId="77777777" w:rsidR="00E8063E" w:rsidRDefault="00E8063E" w:rsidP="00E8063E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</w:p>
          <w:p w14:paraId="191BD05A" w14:textId="77777777" w:rsidR="00E8063E" w:rsidRDefault="00E8063E" w:rsidP="00E8063E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</w:rPr>
              <w:t xml:space="preserve">Kroz evidenciju komunalne infrastrukture evidentirane su nerazvrstane ceste, javne prometne površine na kojima nije dopušten promet motornim vozilima, javna parkirališta, javne zelene površine, građevine i uređaji javne namjene, javna rasvjeta, groblja i krematoriji te građevine namijenjene obavljanju javnog prijevoza. </w:t>
            </w:r>
          </w:p>
          <w:p w14:paraId="5B14BB73" w14:textId="77777777" w:rsidR="00E8063E" w:rsidRDefault="00E8063E" w:rsidP="00E8063E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</w:rPr>
              <w:t xml:space="preserve">Svakoj pojedinačnoj komunalnoj infrastrukturi pridružen je naziv i vrsta komunalne infrastrukture, oznaka katastarske čestice i katastarska općina, vlasništvo te upravljanje komunalnom infrastrukturom. </w:t>
            </w:r>
          </w:p>
          <w:p w14:paraId="456811CE" w14:textId="77777777" w:rsidR="00E8063E" w:rsidRDefault="00E8063E" w:rsidP="00E8063E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</w:p>
          <w:p w14:paraId="447FDC4F" w14:textId="77777777" w:rsidR="00E8063E" w:rsidRDefault="00E8063E" w:rsidP="00E8063E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</w:p>
          <w:p w14:paraId="78339FAF" w14:textId="77777777" w:rsidR="00E8063E" w:rsidRDefault="00E8063E" w:rsidP="00E8063E">
            <w:pPr>
              <w:spacing w:before="35" w:after="0" w:line="240" w:lineRule="auto"/>
              <w:ind w:right="-20"/>
              <w:jc w:val="center"/>
              <w:rPr>
                <w:rFonts w:ascii="Garamond" w:eastAsia="Myriad Pro" w:hAnsi="Garamond" w:cs="Myriad Pro"/>
              </w:rPr>
            </w:pPr>
          </w:p>
          <w:p w14:paraId="3B043C22" w14:textId="51BEBFDE" w:rsidR="00E8063E" w:rsidRPr="004D0688" w:rsidRDefault="00E8063E" w:rsidP="00E8063E">
            <w:pPr>
              <w:spacing w:before="35" w:after="0" w:line="257" w:lineRule="auto"/>
              <w:ind w:right="-20"/>
              <w:rPr>
                <w:rFonts w:ascii="Garamond" w:hAnsi="Garamond"/>
              </w:rPr>
            </w:pPr>
          </w:p>
        </w:tc>
      </w:tr>
      <w:tr w:rsidR="00E8063E" w:rsidRPr="004D0688" w14:paraId="2FB93A8F" w14:textId="77777777" w:rsidTr="004A49D5">
        <w:trPr>
          <w:trHeight w:val="34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5242F79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Datum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B113CA7" w14:textId="77F6E2E6" w:rsidR="00E8063E" w:rsidRPr="004D0688" w:rsidRDefault="00E8063E" w:rsidP="00E8063E">
            <w:pPr>
              <w:spacing w:before="3" w:after="0" w:line="257" w:lineRule="auto"/>
              <w:rPr>
                <w:rFonts w:ascii="Garamond" w:eastAsia="Calibri" w:hAnsi="Garamond" w:cs="Calibri"/>
                <w:color w:val="231F20"/>
                <w:lang w:val="en-US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>Kolovoz 2025. godine</w:t>
            </w:r>
          </w:p>
          <w:p w14:paraId="683E0E58" w14:textId="35A4B1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</w:p>
        </w:tc>
      </w:tr>
      <w:tr w:rsidR="00E8063E" w:rsidRPr="004D0688" w14:paraId="19F5A62B" w14:textId="77777777" w:rsidTr="004A49D5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0084BB3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094D045F" w14:textId="77777777" w:rsidR="00E8063E" w:rsidRPr="004D0688" w:rsidRDefault="00E8063E" w:rsidP="00E8063E">
            <w:pPr>
              <w:spacing w:after="0" w:line="257" w:lineRule="auto"/>
              <w:ind w:left="108" w:right="-20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Verzija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FB4CC2C" w14:textId="77777777" w:rsidR="00E8063E" w:rsidRPr="001F49D6" w:rsidRDefault="00E8063E" w:rsidP="00E8063E">
            <w:pPr>
              <w:spacing w:after="0"/>
              <w:rPr>
                <w:rFonts w:ascii="Garamond" w:hAnsi="Garamond" w:cs="Times New Roman"/>
              </w:rPr>
            </w:pPr>
            <w:r>
              <w:rPr>
                <w:rFonts w:ascii="Garamond" w:eastAsia="Myriad Pro" w:hAnsi="Garamond" w:cs="Myriad Pro"/>
                <w:color w:val="231F20"/>
              </w:rPr>
              <w:t xml:space="preserve">Evidencija komunalne infrastrukture na području Općine Punat </w:t>
            </w:r>
            <w:r>
              <w:rPr>
                <w:rFonts w:ascii="Garamond" w:hAnsi="Garamond" w:cs="Arial"/>
                <w:bCs/>
              </w:rPr>
              <w:t xml:space="preserve"> te integracija</w:t>
            </w:r>
            <w:r w:rsidRPr="0050571B">
              <w:rPr>
                <w:rFonts w:ascii="Garamond" w:hAnsi="Garamond" w:cs="Arial"/>
                <w:bCs/>
              </w:rPr>
              <w:t xml:space="preserve"> u novi GIS sustav Općine Punat</w:t>
            </w:r>
            <w:r w:rsidRPr="00896035">
              <w:rPr>
                <w:rFonts w:ascii="Arial" w:hAnsi="Arial" w:cs="Arial"/>
                <w:bCs/>
                <w:sz w:val="33"/>
                <w:szCs w:val="33"/>
              </w:rPr>
              <w:t>.</w:t>
            </w:r>
          </w:p>
          <w:p w14:paraId="6AAD6B2E" w14:textId="296A5870" w:rsidR="00E8063E" w:rsidRPr="004D0688" w:rsidRDefault="00E8063E" w:rsidP="00E8063E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lang w:val="en-US"/>
              </w:rPr>
            </w:pPr>
          </w:p>
        </w:tc>
      </w:tr>
      <w:tr w:rsidR="00E8063E" w:rsidRPr="004D0688" w14:paraId="2D8E7EAC" w14:textId="77777777" w:rsidTr="004A49D5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FF48D05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  <w:r w:rsidRPr="004D0688">
              <w:rPr>
                <w:rFonts w:ascii="Garamond" w:hAnsi="Garamond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Vrsta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CCFEEFE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eastAsia="Calibri" w:hAnsi="Garamond" w:cs="Calibri"/>
                <w:color w:val="231F20"/>
                <w:lang w:val="en-US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Opći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akt</w:t>
            </w:r>
            <w:proofErr w:type="spellEnd"/>
          </w:p>
          <w:p w14:paraId="63D2EB01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</w:p>
        </w:tc>
      </w:tr>
      <w:tr w:rsidR="00E8063E" w:rsidRPr="004D0688" w14:paraId="45654CC7" w14:textId="77777777" w:rsidTr="004A49D5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E9E693F" w14:textId="77777777" w:rsidR="00E8063E" w:rsidRPr="004D0688" w:rsidRDefault="00E8063E" w:rsidP="00E8063E">
            <w:pPr>
              <w:spacing w:before="37" w:after="0" w:line="257" w:lineRule="auto"/>
              <w:ind w:left="108" w:right="225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Naziv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nacrta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zakona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,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drugog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propisa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ili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akta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2E386AC8" w14:textId="6BA4AC94" w:rsidR="00E8063E" w:rsidRPr="004D0688" w:rsidRDefault="00E8063E" w:rsidP="00E8063E">
            <w:pPr>
              <w:spacing w:before="35" w:after="0" w:line="257" w:lineRule="auto"/>
              <w:ind w:right="256"/>
              <w:rPr>
                <w:rFonts w:ascii="Garamond" w:eastAsia="Calibri" w:hAnsi="Garamond" w:cs="Calibri"/>
                <w:lang w:val="en-US"/>
              </w:rPr>
            </w:pPr>
            <w:r>
              <w:rPr>
                <w:rFonts w:ascii="Garamond" w:eastAsia="Myriad Pro" w:hAnsi="Garamond" w:cs="Myriad Pro"/>
                <w:color w:val="231F20"/>
              </w:rPr>
              <w:t xml:space="preserve">Evidencija komunalne infrastrukture na području Općine Punat </w:t>
            </w:r>
            <w:r>
              <w:rPr>
                <w:rFonts w:ascii="Garamond" w:hAnsi="Garamond" w:cs="Arial"/>
                <w:bCs/>
              </w:rPr>
              <w:t xml:space="preserve"> </w:t>
            </w:r>
          </w:p>
        </w:tc>
      </w:tr>
      <w:tr w:rsidR="00E8063E" w:rsidRPr="004D0688" w14:paraId="2023D533" w14:textId="77777777" w:rsidTr="004A49D5">
        <w:trPr>
          <w:trHeight w:val="123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A3F4B21" w14:textId="77777777" w:rsidR="00E8063E" w:rsidRPr="004D0688" w:rsidRDefault="00E8063E" w:rsidP="00E8063E">
            <w:pPr>
              <w:spacing w:before="37" w:after="0" w:line="257" w:lineRule="auto"/>
              <w:ind w:left="108" w:right="363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lastRenderedPageBreak/>
              <w:t>Jedinstvena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oznaka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iz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Plana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donošenja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zakona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,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drugih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propisa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akata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objavljenog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internetskim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stranicama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Općine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9320CDA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  </w:t>
            </w:r>
          </w:p>
        </w:tc>
      </w:tr>
      <w:tr w:rsidR="00E8063E" w:rsidRPr="004D0688" w14:paraId="3384B9BF" w14:textId="77777777" w:rsidTr="004A49D5">
        <w:trPr>
          <w:trHeight w:val="60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9B6BC61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12658738" w14:textId="77777777" w:rsidR="00E8063E" w:rsidRPr="004D0688" w:rsidRDefault="00E8063E" w:rsidP="00E8063E">
            <w:pPr>
              <w:spacing w:after="0" w:line="257" w:lineRule="auto"/>
              <w:ind w:left="108" w:right="-20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Naziv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tijela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nadležnog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za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izradu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nacrta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C0128BD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Jedinstveni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upravni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odjel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Općine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Punat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,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Odsjek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za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komunalno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gospodarstvo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i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prostorno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planiranje</w:t>
            </w:r>
            <w:proofErr w:type="spellEnd"/>
          </w:p>
        </w:tc>
      </w:tr>
      <w:tr w:rsidR="00E8063E" w:rsidRPr="004D0688" w14:paraId="3126B04C" w14:textId="77777777" w:rsidTr="004A49D5">
        <w:trPr>
          <w:trHeight w:val="114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5D69B1F" w14:textId="36138A0B" w:rsidR="00E8063E" w:rsidRPr="004D0688" w:rsidRDefault="00E8063E" w:rsidP="00E8063E">
            <w:pPr>
              <w:spacing w:before="37" w:after="0" w:line="257" w:lineRule="auto"/>
              <w:ind w:left="108" w:right="316"/>
              <w:rPr>
                <w:rFonts w:ascii="Garamond" w:eastAsia="Calibri" w:hAnsi="Garamond" w:cs="Calibri"/>
                <w:color w:val="231F20"/>
                <w:lang w:val="en-US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Koji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su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predstavnici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zainteresirane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javnosti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bili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uključeni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u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postupak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izrade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odnosno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u rad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stručne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radne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skupine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za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izradu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nacrta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509B9B9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</w:tc>
      </w:tr>
      <w:tr w:rsidR="00E8063E" w:rsidRPr="004D0688" w14:paraId="6F494DB4" w14:textId="77777777" w:rsidTr="004A49D5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4460F07" w14:textId="77777777" w:rsidR="00E8063E" w:rsidRPr="004D0688" w:rsidRDefault="00E8063E" w:rsidP="00E8063E">
            <w:pPr>
              <w:spacing w:before="73" w:after="0" w:line="257" w:lineRule="auto"/>
              <w:ind w:left="108" w:right="1150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Je li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nacrt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bio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objavljen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internetskim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stranicama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ili</w:t>
            </w:r>
            <w:proofErr w:type="spellEnd"/>
          </w:p>
          <w:p w14:paraId="7EBB5AF4" w14:textId="77777777" w:rsidR="00E8063E" w:rsidRPr="004D0688" w:rsidRDefault="00E8063E" w:rsidP="00E8063E">
            <w:pPr>
              <w:spacing w:after="0" w:line="257" w:lineRule="auto"/>
              <w:ind w:left="108" w:right="922"/>
              <w:jc w:val="both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drugi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odgovarajući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način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?</w:t>
            </w:r>
          </w:p>
          <w:p w14:paraId="749D338E" w14:textId="77777777" w:rsidR="00E8063E" w:rsidRPr="004D0688" w:rsidRDefault="00E8063E" w:rsidP="00E8063E">
            <w:pPr>
              <w:spacing w:before="82" w:after="0" w:line="257" w:lineRule="auto"/>
              <w:ind w:left="108" w:right="229"/>
              <w:jc w:val="both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Ako jest,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kada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je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nacrt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objavljen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,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kojoj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internetskoj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stranici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koliko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je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vremena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ostavljeno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za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savjetovanje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?</w:t>
            </w:r>
          </w:p>
          <w:p w14:paraId="4DCFC499" w14:textId="77777777" w:rsidR="00E8063E" w:rsidRPr="004D0688" w:rsidRDefault="00E8063E" w:rsidP="00E8063E">
            <w:pPr>
              <w:spacing w:before="83" w:after="0" w:line="257" w:lineRule="auto"/>
              <w:ind w:left="108" w:right="2170"/>
              <w:jc w:val="both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Ako </w:t>
            </w:r>
            <w:proofErr w:type="spellStart"/>
            <w:proofErr w:type="gram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nije,zašto</w:t>
            </w:r>
            <w:proofErr w:type="spellEnd"/>
            <w:proofErr w:type="gram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6B5FEB8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7EF9AA36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4B03E3DC" w14:textId="77777777" w:rsidR="00E8063E" w:rsidRPr="004D0688" w:rsidRDefault="00E8063E" w:rsidP="00E8063E">
            <w:pPr>
              <w:spacing w:after="0" w:line="257" w:lineRule="auto"/>
              <w:ind w:right="-20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 </w:t>
            </w:r>
            <w:hyperlink>
              <w:r w:rsidRPr="004D0688">
                <w:rPr>
                  <w:rStyle w:val="Hiperveza"/>
                  <w:rFonts w:ascii="Garamond" w:eastAsia="Calibri" w:hAnsi="Garamond" w:cs="Calibri"/>
                  <w:lang w:val="en-US"/>
                </w:rPr>
                <w:t>www.punat.hr</w:t>
              </w:r>
            </w:hyperlink>
          </w:p>
        </w:tc>
      </w:tr>
      <w:tr w:rsidR="00E8063E" w:rsidRPr="004D0688" w14:paraId="6EC6B140" w14:textId="77777777" w:rsidTr="004A49D5">
        <w:trPr>
          <w:trHeight w:val="85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6A36E9F9" w14:textId="77777777" w:rsidR="00E8063E" w:rsidRPr="004D0688" w:rsidRDefault="00E8063E" w:rsidP="00E8063E">
            <w:pPr>
              <w:rPr>
                <w:rFonts w:ascii="Garamond" w:hAnsi="Garamond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7BAF1C3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9D9ACCB" w14:textId="5CCCA3A2" w:rsidR="00E8063E" w:rsidRPr="004D0688" w:rsidRDefault="00E8063E" w:rsidP="00E8063E">
            <w:pPr>
              <w:spacing w:before="37" w:after="0" w:line="257" w:lineRule="auto"/>
              <w:ind w:left="108" w:right="508"/>
              <w:rPr>
                <w:rFonts w:ascii="Garamond" w:hAnsi="Garamond"/>
              </w:rPr>
            </w:pPr>
            <w:r w:rsidRPr="00E8063E">
              <w:rPr>
                <w:rFonts w:ascii="Garamond" w:hAnsi="Garamond"/>
              </w:rPr>
              <w:t>https://www.punat.hr/node/2283</w:t>
            </w:r>
          </w:p>
        </w:tc>
      </w:tr>
      <w:tr w:rsidR="00E8063E" w:rsidRPr="004D0688" w14:paraId="64667245" w14:textId="77777777" w:rsidTr="004A49D5">
        <w:trPr>
          <w:trHeight w:val="1005"/>
        </w:trPr>
        <w:tc>
          <w:tcPr>
            <w:tcW w:w="4364" w:type="dxa"/>
            <w:vMerge/>
            <w:tcBorders>
              <w:left w:val="single" w:sz="0" w:space="0" w:color="231F20"/>
              <w:right w:val="single" w:sz="0" w:space="0" w:color="231F20"/>
            </w:tcBorders>
            <w:vAlign w:val="center"/>
          </w:tcPr>
          <w:p w14:paraId="578AC55B" w14:textId="77777777" w:rsidR="00E8063E" w:rsidRPr="004D0688" w:rsidRDefault="00E8063E" w:rsidP="00E8063E">
            <w:pPr>
              <w:rPr>
                <w:rFonts w:ascii="Garamond" w:hAnsi="Garamond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1C21D7D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EF1E754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71444DB8" w14:textId="112C137B" w:rsidR="00E8063E" w:rsidRPr="004D0688" w:rsidRDefault="00E8063E" w:rsidP="00E8063E">
            <w:pPr>
              <w:spacing w:after="0" w:line="257" w:lineRule="auto"/>
              <w:ind w:left="108" w:right="-20"/>
              <w:rPr>
                <w:rFonts w:ascii="Garamond" w:eastAsia="Calibri" w:hAnsi="Garamond" w:cs="Calibri"/>
                <w:color w:val="000000" w:themeColor="text1"/>
                <w:lang w:val="en-US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Od 13.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kolovoza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– 12.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rujna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2025.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godine</w:t>
            </w:r>
            <w:proofErr w:type="spellEnd"/>
          </w:p>
        </w:tc>
      </w:tr>
      <w:tr w:rsidR="00E8063E" w:rsidRPr="004D0688" w14:paraId="6735FBF9" w14:textId="77777777" w:rsidTr="004A49D5">
        <w:trPr>
          <w:trHeight w:val="270"/>
        </w:trPr>
        <w:tc>
          <w:tcPr>
            <w:tcW w:w="4364" w:type="dxa"/>
            <w:vMerge/>
            <w:tcBorders>
              <w:left w:val="single" w:sz="0" w:space="0" w:color="231F20"/>
              <w:bottom w:val="single" w:sz="0" w:space="0" w:color="231F20"/>
              <w:right w:val="single" w:sz="0" w:space="0" w:color="231F20"/>
            </w:tcBorders>
            <w:vAlign w:val="center"/>
          </w:tcPr>
          <w:p w14:paraId="493AA698" w14:textId="77777777" w:rsidR="00E8063E" w:rsidRPr="004D0688" w:rsidRDefault="00E8063E" w:rsidP="00E8063E">
            <w:pPr>
              <w:rPr>
                <w:rFonts w:ascii="Garamond" w:hAnsi="Garamond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A15F3C7" w14:textId="77777777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</w:tc>
      </w:tr>
      <w:tr w:rsidR="00E8063E" w:rsidRPr="004D0688" w14:paraId="4B19DA71" w14:textId="77777777" w:rsidTr="004A49D5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D1061C4" w14:textId="77777777" w:rsidR="00E8063E" w:rsidRPr="004D0688" w:rsidRDefault="00E8063E" w:rsidP="00E8063E">
            <w:pPr>
              <w:spacing w:before="37" w:after="0" w:line="257" w:lineRule="auto"/>
              <w:ind w:left="108" w:right="422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Koji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su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predstavnici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zainteresirane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javnosti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dostavili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svoja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očitovanja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B95C0FF" w14:textId="67665291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Nema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>pr</w:t>
            </w:r>
            <w:r w:rsidR="006904DA">
              <w:rPr>
                <w:rFonts w:ascii="Garamond" w:eastAsia="Calibri" w:hAnsi="Garamond" w:cs="Calibri"/>
                <w:color w:val="000000" w:themeColor="text1"/>
                <w:lang w:val="en-US"/>
              </w:rPr>
              <w:t>i</w:t>
            </w:r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>mjedbi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. </w:t>
            </w:r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 </w:t>
            </w:r>
          </w:p>
        </w:tc>
      </w:tr>
      <w:tr w:rsidR="00E8063E" w:rsidRPr="004D0688" w14:paraId="164A96DE" w14:textId="77777777" w:rsidTr="004A49D5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9DE0FCC" w14:textId="77777777" w:rsidR="00E8063E" w:rsidRPr="004D0688" w:rsidRDefault="00E8063E" w:rsidP="00E8063E">
            <w:pPr>
              <w:spacing w:before="37" w:after="0" w:line="257" w:lineRule="auto"/>
              <w:ind w:right="573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231F20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710CA6C" w14:textId="707966DB" w:rsidR="00E8063E" w:rsidRPr="004D0688" w:rsidRDefault="00E8063E" w:rsidP="00E8063E">
            <w:pPr>
              <w:spacing w:after="0" w:line="276" w:lineRule="auto"/>
              <w:rPr>
                <w:rFonts w:ascii="Garamond" w:hAnsi="Garamond"/>
              </w:rPr>
            </w:pPr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Nema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>primjedbi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lang w:val="en-US"/>
              </w:rPr>
              <w:t>.</w:t>
            </w:r>
          </w:p>
          <w:p w14:paraId="7A324562" w14:textId="77777777" w:rsidR="00E8063E" w:rsidRPr="004D0688" w:rsidRDefault="00E8063E" w:rsidP="00E8063E">
            <w:pPr>
              <w:spacing w:after="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759CAA9F" w14:textId="77777777" w:rsidR="00E8063E" w:rsidRPr="004D0688" w:rsidRDefault="00E8063E" w:rsidP="00E8063E">
            <w:pPr>
              <w:spacing w:after="0" w:line="276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</w:tc>
      </w:tr>
      <w:tr w:rsidR="00E8063E" w:rsidRPr="004D0688" w14:paraId="0AC586FC" w14:textId="77777777" w:rsidTr="004A49D5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68A74ED" w14:textId="77777777" w:rsidR="00E8063E" w:rsidRPr="004D0688" w:rsidRDefault="00E8063E" w:rsidP="00E8063E">
            <w:pPr>
              <w:spacing w:before="3" w:after="0" w:line="257" w:lineRule="auto"/>
              <w:rPr>
                <w:rFonts w:ascii="Garamond" w:hAnsi="Garamond"/>
              </w:rPr>
            </w:pPr>
            <w:r w:rsidRPr="004D0688">
              <w:rPr>
                <w:rFonts w:ascii="Garamond" w:eastAsia="Calibri" w:hAnsi="Garamond" w:cs="Calibri"/>
                <w:color w:val="000000" w:themeColor="text1"/>
              </w:rPr>
              <w:t xml:space="preserve"> </w:t>
            </w:r>
          </w:p>
          <w:p w14:paraId="48B47D5E" w14:textId="77777777" w:rsidR="00E8063E" w:rsidRPr="004D0688" w:rsidRDefault="00E8063E" w:rsidP="00E8063E">
            <w:pPr>
              <w:spacing w:after="0" w:line="257" w:lineRule="auto"/>
              <w:ind w:left="108" w:right="-20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Troškovi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provedenog</w:t>
            </w:r>
            <w:proofErr w:type="spellEnd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231F20"/>
                <w:lang w:val="en-US"/>
              </w:rPr>
              <w:t>savjetovanja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4F3A4DBF" w14:textId="304C02E4" w:rsidR="00E8063E" w:rsidRPr="004D0688" w:rsidRDefault="00E8063E" w:rsidP="00E8063E">
            <w:pPr>
              <w:spacing w:after="200" w:line="276" w:lineRule="auto"/>
              <w:rPr>
                <w:rFonts w:ascii="Garamond" w:hAnsi="Garamond"/>
              </w:rPr>
            </w:pP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Nije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primjenjivo</w:t>
            </w:r>
            <w:proofErr w:type="spellEnd"/>
            <w:r w:rsidRPr="004D0688">
              <w:rPr>
                <w:rFonts w:ascii="Garamond" w:eastAsia="Calibri" w:hAnsi="Garamond" w:cs="Calibri"/>
                <w:color w:val="000000" w:themeColor="text1"/>
                <w:lang w:val="en-US"/>
              </w:rPr>
              <w:t>.</w:t>
            </w:r>
          </w:p>
        </w:tc>
      </w:tr>
    </w:tbl>
    <w:p w14:paraId="56D828EB" w14:textId="77777777" w:rsidR="00105140" w:rsidRPr="004D0688" w:rsidRDefault="00105140" w:rsidP="00105140">
      <w:pPr>
        <w:spacing w:after="200" w:line="276" w:lineRule="auto"/>
        <w:rPr>
          <w:rFonts w:ascii="Garamond" w:hAnsi="Garamond"/>
        </w:rPr>
      </w:pPr>
      <w:r w:rsidRPr="004D0688">
        <w:rPr>
          <w:rFonts w:ascii="Garamond" w:eastAsia="Calibri" w:hAnsi="Garamond" w:cs="Calibri"/>
          <w:lang w:val="en-US"/>
        </w:rPr>
        <w:t xml:space="preserve"> </w:t>
      </w:r>
    </w:p>
    <w:p w14:paraId="3DA6A221" w14:textId="77777777" w:rsidR="00105140" w:rsidRPr="004D0688" w:rsidRDefault="00105140" w:rsidP="00105140">
      <w:pPr>
        <w:spacing w:line="257" w:lineRule="auto"/>
        <w:rPr>
          <w:rFonts w:ascii="Garamond" w:eastAsia="Calibri" w:hAnsi="Garamond" w:cs="Calibri"/>
        </w:rPr>
      </w:pPr>
    </w:p>
    <w:p w14:paraId="3CA68EE6" w14:textId="77777777" w:rsidR="00105140" w:rsidRPr="004D0688" w:rsidRDefault="00105140" w:rsidP="00105140">
      <w:pPr>
        <w:rPr>
          <w:rFonts w:ascii="Garamond" w:hAnsi="Garamond"/>
        </w:rPr>
      </w:pPr>
    </w:p>
    <w:p w14:paraId="08031ABF" w14:textId="4E1451C8" w:rsidR="00637984" w:rsidRPr="004D0688" w:rsidRDefault="00637984">
      <w:pPr>
        <w:rPr>
          <w:rFonts w:ascii="Garamond" w:hAnsi="Garamond"/>
        </w:rPr>
      </w:pPr>
    </w:p>
    <w:sectPr w:rsidR="00637984" w:rsidRPr="004D0688" w:rsidSect="001051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252"/>
    <w:multiLevelType w:val="hybridMultilevel"/>
    <w:tmpl w:val="67FC843A"/>
    <w:lvl w:ilvl="0" w:tplc="ED16093A">
      <w:start w:val="1"/>
      <w:numFmt w:val="decimal"/>
      <w:lvlText w:val="%1."/>
      <w:lvlJc w:val="left"/>
      <w:pPr>
        <w:ind w:left="420" w:hanging="360"/>
      </w:pPr>
      <w:rPr>
        <w:rFonts w:eastAsia="Calibri" w:cs="Calibri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6589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17"/>
    <w:rsid w:val="00043F8B"/>
    <w:rsid w:val="000752F7"/>
    <w:rsid w:val="000A35DB"/>
    <w:rsid w:val="00101370"/>
    <w:rsid w:val="00105140"/>
    <w:rsid w:val="00122E02"/>
    <w:rsid w:val="0013167D"/>
    <w:rsid w:val="00140179"/>
    <w:rsid w:val="00223DDF"/>
    <w:rsid w:val="00241717"/>
    <w:rsid w:val="00434FA1"/>
    <w:rsid w:val="004D0688"/>
    <w:rsid w:val="005978C8"/>
    <w:rsid w:val="005F3813"/>
    <w:rsid w:val="00637984"/>
    <w:rsid w:val="006904DA"/>
    <w:rsid w:val="00791029"/>
    <w:rsid w:val="00977C81"/>
    <w:rsid w:val="00996109"/>
    <w:rsid w:val="00C10261"/>
    <w:rsid w:val="00C57F61"/>
    <w:rsid w:val="00D8654C"/>
    <w:rsid w:val="00E8063E"/>
    <w:rsid w:val="00F167DE"/>
    <w:rsid w:val="00FC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8153"/>
  <w15:chartTrackingRefBased/>
  <w15:docId w15:val="{AB8A826B-C473-4C6F-A09B-E0448B4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4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051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514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1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Leontina Sirola</dc:creator>
  <cp:keywords/>
  <dc:description/>
  <cp:lastModifiedBy>Office</cp:lastModifiedBy>
  <cp:revision>3</cp:revision>
  <dcterms:created xsi:type="dcterms:W3CDTF">2025-11-21T08:53:00Z</dcterms:created>
  <dcterms:modified xsi:type="dcterms:W3CDTF">2025-11-21T09:03:00Z</dcterms:modified>
</cp:coreProperties>
</file>