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6572" w14:textId="26CD1D97" w:rsidR="00A21334" w:rsidRPr="00596917" w:rsidRDefault="00596917" w:rsidP="00596917">
      <w:pPr>
        <w:pStyle w:val="Odlomakpopisa"/>
        <w:numPr>
          <w:ilvl w:val="0"/>
          <w:numId w:val="6"/>
        </w:numPr>
        <w:jc w:val="center"/>
        <w:rPr>
          <w:sz w:val="16"/>
          <w:szCs w:val="16"/>
        </w:rPr>
      </w:pPr>
      <w:r>
        <w:rPr>
          <w:sz w:val="16"/>
          <w:szCs w:val="16"/>
        </w:rPr>
        <w:t>PRIJEDLOG</w:t>
      </w:r>
    </w:p>
    <w:p w14:paraId="501FA80C" w14:textId="77777777" w:rsidR="00A21334" w:rsidRDefault="00000000">
      <w:pPr>
        <w:jc w:val="center"/>
        <w:rPr>
          <w:rFonts w:cstheme="minorHAns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63A78FC" wp14:editId="4169665A">
            <wp:extent cx="613410" cy="777875"/>
            <wp:effectExtent l="0" t="0" r="0" b="3175"/>
            <wp:docPr id="7" name="Slika 3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3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42374" cy="8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EA1D5" w14:textId="77777777" w:rsidR="00A21334" w:rsidRDefault="00000000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REPUBLIKA HRVATSKA</w:t>
      </w:r>
    </w:p>
    <w:p w14:paraId="3A13618A" w14:textId="77777777" w:rsidR="00A21334" w:rsidRDefault="00000000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OPĆINA PUNAT</w:t>
      </w:r>
    </w:p>
    <w:p w14:paraId="1491B9F6" w14:textId="77777777" w:rsidR="00A21334" w:rsidRDefault="00A21334">
      <w:pPr>
        <w:jc w:val="center"/>
        <w:rPr>
          <w:rFonts w:cstheme="minorHAnsi"/>
          <w:b/>
          <w:bCs/>
          <w:sz w:val="44"/>
          <w:szCs w:val="44"/>
        </w:rPr>
      </w:pPr>
    </w:p>
    <w:p w14:paraId="3597C924" w14:textId="77777777" w:rsidR="00A21334" w:rsidRDefault="00A21334">
      <w:pPr>
        <w:jc w:val="center"/>
        <w:rPr>
          <w:rFonts w:cstheme="minorHAnsi"/>
          <w:b/>
          <w:bCs/>
          <w:sz w:val="44"/>
          <w:szCs w:val="44"/>
        </w:rPr>
      </w:pPr>
    </w:p>
    <w:p w14:paraId="1B0C3B74" w14:textId="77777777" w:rsidR="00A21334" w:rsidRDefault="00000000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4"/>
          <w:szCs w:val="44"/>
        </w:rPr>
        <w:t>OBRAZLOŽENJE OPĆEG DIJELA PRORAČUNA</w:t>
      </w:r>
      <w:r>
        <w:rPr>
          <w:rFonts w:cstheme="minorHAnsi"/>
          <w:sz w:val="44"/>
          <w:szCs w:val="44"/>
        </w:rPr>
        <w:t xml:space="preserve"> OPĆINE PUNAT</w:t>
      </w:r>
    </w:p>
    <w:p w14:paraId="3F518EA8" w14:textId="77777777" w:rsidR="00A21334" w:rsidRDefault="00000000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ZA 2025. GODINU</w:t>
      </w:r>
    </w:p>
    <w:p w14:paraId="36DAA1BE" w14:textId="77777777" w:rsidR="00A21334" w:rsidRDefault="00000000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I</w:t>
      </w:r>
    </w:p>
    <w:p w14:paraId="7C7BC046" w14:textId="77777777" w:rsidR="00A21334" w:rsidRDefault="00000000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PROJEKCIJE ZA 2026. I 2027. GODINU</w:t>
      </w:r>
    </w:p>
    <w:p w14:paraId="328C3DDC" w14:textId="77777777" w:rsidR="00A21334" w:rsidRDefault="00A21334">
      <w:pPr>
        <w:rPr>
          <w:sz w:val="44"/>
          <w:szCs w:val="44"/>
        </w:rPr>
      </w:pPr>
    </w:p>
    <w:p w14:paraId="492DE149" w14:textId="77777777" w:rsidR="00A21334" w:rsidRDefault="00A21334">
      <w:pPr>
        <w:jc w:val="center"/>
        <w:rPr>
          <w:sz w:val="44"/>
          <w:szCs w:val="44"/>
        </w:rPr>
      </w:pPr>
    </w:p>
    <w:p w14:paraId="0028887D" w14:textId="77777777" w:rsidR="00A21334" w:rsidRDefault="00A21334">
      <w:pPr>
        <w:jc w:val="center"/>
        <w:rPr>
          <w:sz w:val="44"/>
          <w:szCs w:val="44"/>
        </w:rPr>
      </w:pPr>
    </w:p>
    <w:p w14:paraId="2E08C428" w14:textId="77777777" w:rsidR="00A21334" w:rsidRDefault="00A21334">
      <w:pPr>
        <w:jc w:val="center"/>
        <w:rPr>
          <w:sz w:val="44"/>
          <w:szCs w:val="44"/>
        </w:rPr>
      </w:pPr>
    </w:p>
    <w:p w14:paraId="2159F479" w14:textId="77777777" w:rsidR="00A21334" w:rsidRDefault="00A21334">
      <w:pPr>
        <w:jc w:val="center"/>
        <w:rPr>
          <w:sz w:val="44"/>
          <w:szCs w:val="44"/>
        </w:rPr>
      </w:pPr>
    </w:p>
    <w:p w14:paraId="130481D4" w14:textId="77777777" w:rsidR="00A21334" w:rsidRDefault="00A21334">
      <w:pPr>
        <w:jc w:val="center"/>
        <w:rPr>
          <w:sz w:val="44"/>
          <w:szCs w:val="44"/>
        </w:rPr>
      </w:pPr>
    </w:p>
    <w:p w14:paraId="2EF55A83" w14:textId="77777777" w:rsidR="00A21334" w:rsidRDefault="00A21334">
      <w:pPr>
        <w:jc w:val="center"/>
        <w:rPr>
          <w:sz w:val="44"/>
          <w:szCs w:val="44"/>
        </w:rPr>
      </w:pPr>
    </w:p>
    <w:p w14:paraId="159E2BC9" w14:textId="77777777" w:rsidR="00A21334" w:rsidRDefault="00A21334">
      <w:pPr>
        <w:jc w:val="center"/>
        <w:rPr>
          <w:sz w:val="44"/>
          <w:szCs w:val="44"/>
        </w:rPr>
      </w:pPr>
    </w:p>
    <w:p w14:paraId="7002697A" w14:textId="77777777" w:rsidR="00A21334" w:rsidRPr="002D677F" w:rsidRDefault="00000000">
      <w:pP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r-HR"/>
          <w14:ligatures w14:val="none"/>
        </w:rPr>
      </w:pPr>
      <w:r w:rsidRPr="002D677F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hr-HR"/>
          <w14:ligatures w14:val="none"/>
        </w:rPr>
        <w:lastRenderedPageBreak/>
        <w:t>UVOD</w:t>
      </w:r>
    </w:p>
    <w:p w14:paraId="26DD2A5D" w14:textId="77777777" w:rsidR="00A21334" w:rsidRPr="002D677F" w:rsidRDefault="0000000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Zakonom o proračunu (</w:t>
      </w:r>
      <w:r w:rsidRPr="002D677F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„Narodne novine“ br. 144/21)</w:t>
      </w: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određena je obveza i postupak donošenja proračuna, temeljnog financijskog dokumenta kojim se procjenjuju prihodi i primici te utvrđuju rashodi i izdaci za jednu proračunsku godinu. </w:t>
      </w:r>
      <w:r w:rsidRPr="002D677F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Temeljem članka 42. Zakona predstavničko tijelo jedinice lokalne i područne (regionalne) samouprave obvezno je, na prijedlog izvršnog tijela, do kraja prosinca tekuće godine donijeti proračun za iduću proračunsku godinu i projekcije za sljedeće dvije godine na razini skupine ekonomske klasifikacije, u roku koji omogućuje primjenu proračuna od 1. siječnja godine za koju se donosi proračun.</w:t>
      </w:r>
    </w:p>
    <w:p w14:paraId="269C1BF7" w14:textId="77777777" w:rsidR="002D677F" w:rsidRPr="002D677F" w:rsidRDefault="002D677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</w:p>
    <w:p w14:paraId="1421A1AB" w14:textId="4E021E95" w:rsidR="002D677F" w:rsidRPr="002D677F" w:rsidRDefault="002D677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2D677F">
        <w:rPr>
          <w:rFonts w:ascii="Times New Roman" w:hAnsi="Times New Roman" w:cs="Times New Roman"/>
          <w:sz w:val="23"/>
          <w:szCs w:val="23"/>
        </w:rPr>
        <w:t>Dana 6. studenog 2024. godine Općinskom  vijeću Općine Punat dostavljen je prijedlog Proračuna Općine Punat za 2025. godinu s projekcijama za 2026. i 2027. na donošenje, međutim dana 14. studenog 2024. godine Općina Punat zaprimila je neopozive ostavke 5 od 9 članova Općinskog vijeća iz redova SDP – PGS – HSU koalicije, zbog čega do kraja godine nije bilo moguće održavanje sjednice Općinskog vijeća koje je jedino ovlašteno donijeti Proračun.</w:t>
      </w:r>
    </w:p>
    <w:p w14:paraId="0DAF0542" w14:textId="77777777" w:rsidR="00A21334" w:rsidRPr="002D677F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</w:p>
    <w:p w14:paraId="0E6975CB" w14:textId="77777777" w:rsidR="00A21334" w:rsidRPr="002D677F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Temeljni okvir za izradu proračuna predstavljaju Smjernice ekonomske i fiskalne politike za razdoblje 2022. - 2024. i Upute za izradu proračuna jedinica lokalne i područne (regionalne) samouprave za razdoblje 2025. - 2027. godine koje je sastavilo Ministarstvo financija. </w:t>
      </w:r>
    </w:p>
    <w:p w14:paraId="7ED8A4CA" w14:textId="77777777" w:rsidR="00A21334" w:rsidRPr="002D677F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</w:p>
    <w:p w14:paraId="5836D47D" w14:textId="77777777" w:rsidR="00A21334" w:rsidRPr="002D677F" w:rsidRDefault="00000000">
      <w:pPr>
        <w:spacing w:after="0"/>
        <w:ind w:firstLine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</w:pPr>
      <w:r w:rsidRPr="002D677F">
        <w:rPr>
          <w:rFonts w:ascii="Times New Roman" w:hAnsi="Times New Roman" w:cs="Times New Roman"/>
          <w:color w:val="000000"/>
          <w:kern w:val="0"/>
          <w:sz w:val="23"/>
          <w:szCs w:val="23"/>
          <w14:ligatures w14:val="none"/>
        </w:rPr>
        <w:t>Metodologija za izradu proračuna JLP(R)S propisana je Zakonom o proračunu i podzakonskim aktima kojima se regulira provedba navedenoga Zakona. Do donošenja novih podzakonskih akata i u ovom proračunskom ciklusu koriste se Pravilnik o proračunskim klasifikacijama (Narodne novine, br. 26/10, 120/12, 1/20 i 4/24) i Pravilnik o proračunskom računovodstvu i Računskom planu (Narodne novine, br. 124/14, 115/15, 87/16,3/18, 126/19, 108/20, 158/23, 154/24).</w:t>
      </w:r>
    </w:p>
    <w:p w14:paraId="4A82AA08" w14:textId="77777777" w:rsidR="00A21334" w:rsidRPr="002D677F" w:rsidRDefault="00A21334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</w:p>
    <w:p w14:paraId="11C1E0F5" w14:textId="77777777" w:rsidR="00A21334" w:rsidRPr="002D677F" w:rsidRDefault="00000000">
      <w:pPr>
        <w:spacing w:after="0"/>
        <w:ind w:firstLine="284"/>
        <w:jc w:val="both"/>
        <w:rPr>
          <w:rFonts w:ascii="Times New Roman" w:hAnsi="Times New Roman" w:cs="Times New Roman"/>
          <w:kern w:val="0"/>
          <w:sz w:val="23"/>
          <w:szCs w:val="23"/>
          <w14:ligatures w14:val="none"/>
        </w:rPr>
      </w:pP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Predstavničko tijelo jedinice lokalne i područne (regionalne) samouprave donosi proračun na razini podskupine ekonomske klasifikacije (druga razina računskog plana) za iduću proračunsku godinu i projekciju na razini skupine ekonomske klasifikacije (druga razina računskog plana) za slijedeće dvije proračunske godine. </w:t>
      </w:r>
      <w:r w:rsidRPr="002D677F">
        <w:rPr>
          <w:rFonts w:ascii="Times New Roman" w:hAnsi="Times New Roman" w:cs="Times New Roman"/>
          <w:kern w:val="0"/>
          <w:sz w:val="23"/>
          <w:szCs w:val="23"/>
          <w14:ligatures w14:val="none"/>
        </w:rPr>
        <w:t>Usvajanje proračuna, a time i financijskih planova korisnika planova, na višoj razini računskog plana - ekonomske klasifikacije jedan je od ključnih mehanizama koji proračunskim korisnicima daje određenu fleksibilnost u izvršavanju proračuna i financijskog plana, jer su oni ti koji su odgovorni za provođenje svojih programa  (aktivnosti i projekata), ali u skladu s usvojenim proračunom i financijskim planom. JLP(R)S i njihovi proračunski korisnici mogu za svoje potrebe izraditi proračun i financijske planove na detaljnijoj razini ekonomske klasifikacije, ali se predstavničkom tijelu na usvajanje podnosi isključivo proračun na drugoj razini ekonomske klasifikacije.</w:t>
      </w:r>
    </w:p>
    <w:p w14:paraId="55DFC7A2" w14:textId="77777777" w:rsidR="00A21334" w:rsidRPr="002D677F" w:rsidRDefault="00A21334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4FA6746" w14:textId="77777777" w:rsidR="00A21334" w:rsidRPr="002D677F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Sukladno članku 28. novog Zakona o proračunu, Proračun JLP(R)S sastoji se od plana za proračunsku godinu i projekcija za slijedeće dvije godine, a sadrži i financijske planove proračunskih korisnika prikazane kroz: </w:t>
      </w:r>
    </w:p>
    <w:p w14:paraId="03C9604D" w14:textId="77777777" w:rsidR="00A21334" w:rsidRPr="002D677F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Opći dio proračuna, a kojeg čine račun prihoda, rashoda i račun financiranja</w:t>
      </w:r>
    </w:p>
    <w:p w14:paraId="5F802218" w14:textId="77777777" w:rsidR="00A21334" w:rsidRPr="002D677F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Posebni dio proračuna koji se sastoji  od plana rashoda i izdataka iskazanih po vrstama, raspoređenih u programe, a koji se sastoje od aktivnosti i projekata</w:t>
      </w:r>
    </w:p>
    <w:p w14:paraId="51A8CE6E" w14:textId="77777777" w:rsidR="00A21334" w:rsidRPr="002D677F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Obrazloženje općeg i posebnog dijela, koje je sastavni dio proračuna </w:t>
      </w:r>
    </w:p>
    <w:p w14:paraId="54043863" w14:textId="565E9B86" w:rsidR="00A21334" w:rsidRPr="002D677F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</w:pP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Odluk</w:t>
      </w:r>
      <w:r w:rsidR="002D677F"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u</w:t>
      </w: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 xml:space="preserve"> o izvršavanju proračuna za 202</w:t>
      </w:r>
      <w:r w:rsidR="002D677F"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5</w:t>
      </w:r>
      <w:r w:rsidRPr="002D677F">
        <w:rPr>
          <w:rFonts w:ascii="Times New Roman" w:eastAsia="Times New Roman" w:hAnsi="Times New Roman" w:cs="Times New Roman"/>
          <w:kern w:val="0"/>
          <w:sz w:val="23"/>
          <w:szCs w:val="23"/>
          <w:lang w:eastAsia="hr-HR"/>
          <w14:ligatures w14:val="none"/>
        </w:rPr>
        <w:t>. godinu</w:t>
      </w:r>
    </w:p>
    <w:p w14:paraId="40F4136B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E99C776" w14:textId="77777777" w:rsidR="00A21334" w:rsidRDefault="0000000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>
        <w:rPr>
          <w:rFonts w:cstheme="minorHAnsi"/>
          <w:sz w:val="44"/>
          <w:szCs w:val="44"/>
        </w:rPr>
        <w:br w:type="page"/>
      </w:r>
      <w:r>
        <w:rPr>
          <w:rFonts w:ascii="Times New Roman" w:hAnsi="Times New Roman" w:cs="Times New Roman"/>
          <w:b/>
          <w:kern w:val="0"/>
          <w:sz w:val="24"/>
          <w14:ligatures w14:val="none"/>
        </w:rPr>
        <w:lastRenderedPageBreak/>
        <w:t>OBRAZLOŽENJE PLANIRANIH PRIHODA I PRIMITAKA TE RASHODA I IZDATAKA PLANA PRORAČUNA OPĆINE PUNAT ZA 2025. GODINU S PROJEKCIJAMA ZA 2026. I 2027. GODINU</w:t>
      </w:r>
    </w:p>
    <w:p w14:paraId="1C85E0AC" w14:textId="77777777" w:rsidR="00A21334" w:rsidRDefault="00A21334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color w:val="FF0000"/>
          <w:kern w:val="0"/>
          <w:sz w:val="24"/>
          <w14:ligatures w14:val="none"/>
        </w:rPr>
      </w:pPr>
    </w:p>
    <w:p w14:paraId="5708E20D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Prijedlogom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Proračuna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Općine Punat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za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ukupni prihodi i primici planirani su u iznosu od 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4.918.311,73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eur, dok su u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projicirani u iznosu od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5.491.499,00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eur, odnosno u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u iznosu od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4.929.004,00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eur. </w:t>
      </w:r>
    </w:p>
    <w:p w14:paraId="0AD4F613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 ukupnih rashoda i izdataka za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iznosi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4.900.741,89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eur, odnosno projekcije istih za naredne dvije godine planirane su za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 iznosu od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5.491.499,00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i za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u iznosu od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4.929.004,00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26F0F937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95834F" w14:textId="77777777" w:rsidR="00A213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Tablica 1. Struktura Proračuna 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Općine Punat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202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godinu i projekcija za 202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i 202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godinu prema osnovnoj klasifikaciji </w:t>
      </w:r>
    </w:p>
    <w:p w14:paraId="53DB1662" w14:textId="77777777" w:rsidR="00A21334" w:rsidRDefault="00A213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16F69FA5" w14:textId="77777777" w:rsidR="00A21334" w:rsidRDefault="000000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hr-HR"/>
          <w14:ligatures w14:val="none"/>
        </w:rPr>
        <w:t xml:space="preserve">         - u eurima-</w:t>
      </w: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color w:val="FF0000"/>
          <w:kern w:val="0"/>
          <w:sz w:val="16"/>
          <w:szCs w:val="16"/>
          <w:lang w:eastAsia="hr-HR"/>
          <w14:ligatures w14:val="none"/>
        </w:rPr>
        <w:tab/>
        <w:t xml:space="preserve"> </w:t>
      </w:r>
    </w:p>
    <w:tbl>
      <w:tblPr>
        <w:tblStyle w:val="Tablicapopisa4-isticanje11"/>
        <w:tblW w:w="8089" w:type="dxa"/>
        <w:jc w:val="center"/>
        <w:tblLook w:val="04A0" w:firstRow="1" w:lastRow="0" w:firstColumn="1" w:lastColumn="0" w:noHBand="0" w:noVBand="1"/>
      </w:tblPr>
      <w:tblGrid>
        <w:gridCol w:w="613"/>
        <w:gridCol w:w="2790"/>
        <w:gridCol w:w="1430"/>
        <w:gridCol w:w="1622"/>
        <w:gridCol w:w="1634"/>
      </w:tblGrid>
      <w:tr w:rsidR="00A21334" w14:paraId="6CDB43E9" w14:textId="77777777" w:rsidTr="00A21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0E5741F4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Red. br.</w:t>
            </w:r>
          </w:p>
        </w:tc>
        <w:tc>
          <w:tcPr>
            <w:tcW w:w="2790" w:type="dxa"/>
            <w:vAlign w:val="center"/>
          </w:tcPr>
          <w:p w14:paraId="4489EC48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430" w:type="dxa"/>
            <w:vAlign w:val="center"/>
          </w:tcPr>
          <w:p w14:paraId="7A3A5A4C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622" w:type="dxa"/>
            <w:vAlign w:val="center"/>
          </w:tcPr>
          <w:p w14:paraId="2BA71524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634" w:type="dxa"/>
            <w:vAlign w:val="center"/>
          </w:tcPr>
          <w:p w14:paraId="43E2BF8C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A21334" w14:paraId="6353196B" w14:textId="77777777" w:rsidTr="00A21334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32C92A9F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A.</w:t>
            </w:r>
          </w:p>
        </w:tc>
        <w:tc>
          <w:tcPr>
            <w:tcW w:w="2790" w:type="dxa"/>
          </w:tcPr>
          <w:p w14:paraId="6A74DBAB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UKUPNI PRIHODI I PRIMICI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201C1B05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4.918.311,73</w:t>
            </w:r>
          </w:p>
        </w:tc>
        <w:tc>
          <w:tcPr>
            <w:tcW w:w="1622" w:type="dxa"/>
          </w:tcPr>
          <w:p w14:paraId="714557D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5.491.499,00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0C48E3AD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4.929.004,00</w:t>
            </w:r>
          </w:p>
        </w:tc>
      </w:tr>
      <w:tr w:rsidR="00A21334" w14:paraId="1A47C3AE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06031935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2790" w:type="dxa"/>
            <w:shd w:val="clear" w:color="auto" w:fill="D9E2F3" w:themeFill="accent1" w:themeFillTint="33"/>
          </w:tcPr>
          <w:p w14:paraId="3FEAB8FB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UKUPNI PRIHODI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2AC74DE6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hr-HR"/>
                <w14:ligatures w14:val="none"/>
              </w:rPr>
              <w:t>4.918.311,73</w:t>
            </w:r>
          </w:p>
        </w:tc>
        <w:tc>
          <w:tcPr>
            <w:tcW w:w="1622" w:type="dxa"/>
            <w:shd w:val="clear" w:color="auto" w:fill="D9E2F3" w:themeFill="accent1" w:themeFillTint="33"/>
          </w:tcPr>
          <w:p w14:paraId="3B044CC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hr-HR"/>
                <w14:ligatures w14:val="none"/>
              </w:rPr>
              <w:t>5.491.499,00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2F02D23A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hr-HR"/>
                <w14:ligatures w14:val="none"/>
              </w:rPr>
              <w:t>4.929.004,00</w:t>
            </w:r>
          </w:p>
        </w:tc>
      </w:tr>
      <w:tr w:rsidR="00A21334" w14:paraId="4E3C7F79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4E2A9E10" w14:textId="77777777" w:rsidR="00A21334" w:rsidRDefault="00A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</w:tcPr>
          <w:p w14:paraId="53FE99F6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69655D83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4.507.449,73</w:t>
            </w:r>
          </w:p>
        </w:tc>
        <w:tc>
          <w:tcPr>
            <w:tcW w:w="1622" w:type="dxa"/>
          </w:tcPr>
          <w:p w14:paraId="70C1610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5.040.485,00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45B5103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4.610.280,00</w:t>
            </w:r>
          </w:p>
        </w:tc>
      </w:tr>
      <w:tr w:rsidR="00A21334" w14:paraId="1EA180CF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01F32F36" w14:textId="77777777" w:rsidR="00A21334" w:rsidRDefault="00A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shd w:val="clear" w:color="auto" w:fill="D9E2F3" w:themeFill="accent1" w:themeFillTint="33"/>
          </w:tcPr>
          <w:p w14:paraId="6966CD75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27E4ED1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410.862,00</w:t>
            </w:r>
          </w:p>
        </w:tc>
        <w:tc>
          <w:tcPr>
            <w:tcW w:w="1622" w:type="dxa"/>
            <w:shd w:val="clear" w:color="auto" w:fill="D9E2F3" w:themeFill="accent1" w:themeFillTint="33"/>
          </w:tcPr>
          <w:p w14:paraId="1468E8F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451.014,00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17BF3D5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318.724,00</w:t>
            </w:r>
          </w:p>
        </w:tc>
      </w:tr>
      <w:tr w:rsidR="00A21334" w14:paraId="7BC58F3F" w14:textId="77777777" w:rsidTr="00A21334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34D75A3E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2790" w:type="dxa"/>
          </w:tcPr>
          <w:p w14:paraId="44ADDC95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5CF414B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22" w:type="dxa"/>
          </w:tcPr>
          <w:p w14:paraId="1ACBD9D2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1970144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</w:tr>
      <w:tr w:rsidR="00A21334" w14:paraId="0AA26CF9" w14:textId="77777777" w:rsidTr="00A21334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65156656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B.</w:t>
            </w:r>
          </w:p>
        </w:tc>
        <w:tc>
          <w:tcPr>
            <w:tcW w:w="2790" w:type="dxa"/>
            <w:shd w:val="clear" w:color="auto" w:fill="D9E2F3" w:themeFill="accent1" w:themeFillTint="33"/>
          </w:tcPr>
          <w:p w14:paraId="0103D43A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UKUPNI RASHODI I IZDACI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0AF16687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4.900.741,89</w:t>
            </w:r>
          </w:p>
        </w:tc>
        <w:tc>
          <w:tcPr>
            <w:tcW w:w="1622" w:type="dxa"/>
            <w:shd w:val="clear" w:color="auto" w:fill="D9E2F3" w:themeFill="accent1" w:themeFillTint="33"/>
          </w:tcPr>
          <w:p w14:paraId="69F6F806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5.491.499,00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4295DF4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4.929.004,00</w:t>
            </w:r>
          </w:p>
        </w:tc>
      </w:tr>
      <w:tr w:rsidR="00A21334" w14:paraId="2B42BFE5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143B5451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2790" w:type="dxa"/>
          </w:tcPr>
          <w:p w14:paraId="431E6252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UKUPNI RASHODI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7FAEB4C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hr-HR"/>
                <w14:ligatures w14:val="none"/>
              </w:rPr>
              <w:t>4.502.972,89</w:t>
            </w:r>
          </w:p>
        </w:tc>
        <w:tc>
          <w:tcPr>
            <w:tcW w:w="1622" w:type="dxa"/>
          </w:tcPr>
          <w:p w14:paraId="6C5A6A6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hr-HR"/>
                <w14:ligatures w14:val="none"/>
              </w:rPr>
              <w:t>5.147.420,00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63B17E2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hr-HR"/>
                <w14:ligatures w14:val="none"/>
              </w:rPr>
              <w:t>4.584.925,00</w:t>
            </w:r>
          </w:p>
        </w:tc>
      </w:tr>
      <w:tr w:rsidR="00A21334" w14:paraId="72780458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3AC88078" w14:textId="77777777" w:rsidR="00A21334" w:rsidRDefault="00A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  <w:shd w:val="clear" w:color="auto" w:fill="D9E2F3" w:themeFill="accent1" w:themeFillTint="33"/>
          </w:tcPr>
          <w:p w14:paraId="38F551FD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36571AF2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3.306.694,89</w:t>
            </w:r>
          </w:p>
        </w:tc>
        <w:tc>
          <w:tcPr>
            <w:tcW w:w="1622" w:type="dxa"/>
            <w:shd w:val="clear" w:color="auto" w:fill="D9E2F3" w:themeFill="accent1" w:themeFillTint="33"/>
          </w:tcPr>
          <w:p w14:paraId="46B18D0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3.173.265,00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247D3571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3.234.320,00</w:t>
            </w:r>
          </w:p>
        </w:tc>
      </w:tr>
      <w:tr w:rsidR="00A21334" w14:paraId="091EFD5B" w14:textId="77777777" w:rsidTr="00A21334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014B8B13" w14:textId="77777777" w:rsidR="00A21334" w:rsidRDefault="00A2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90" w:type="dxa"/>
          </w:tcPr>
          <w:p w14:paraId="4A2308FB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3D1C5E0D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1.196.278,00</w:t>
            </w:r>
          </w:p>
        </w:tc>
        <w:tc>
          <w:tcPr>
            <w:tcW w:w="1622" w:type="dxa"/>
          </w:tcPr>
          <w:p w14:paraId="0450E80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1.974.155,00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2EE1023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1.350.605,00</w:t>
            </w:r>
          </w:p>
        </w:tc>
      </w:tr>
      <w:tr w:rsidR="00A21334" w14:paraId="4A823F7E" w14:textId="77777777" w:rsidTr="00A21334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04EA4BD4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2790" w:type="dxa"/>
            <w:shd w:val="clear" w:color="auto" w:fill="D9E2F3" w:themeFill="accent1" w:themeFillTint="33"/>
          </w:tcPr>
          <w:p w14:paraId="2B6BA73C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5BFB6A82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397.769,00</w:t>
            </w:r>
          </w:p>
        </w:tc>
        <w:tc>
          <w:tcPr>
            <w:tcW w:w="1622" w:type="dxa"/>
            <w:shd w:val="clear" w:color="auto" w:fill="D9E2F3" w:themeFill="accent1" w:themeFillTint="33"/>
          </w:tcPr>
          <w:p w14:paraId="5731E287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344.079,00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2FCC451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hr-HR"/>
                <w14:ligatures w14:val="none"/>
              </w:rPr>
              <w:t>344.079,00</w:t>
            </w:r>
          </w:p>
        </w:tc>
      </w:tr>
      <w:tr w:rsidR="00A21334" w14:paraId="73BB917C" w14:textId="77777777" w:rsidTr="00A21334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01CAA5F6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C.</w:t>
            </w:r>
          </w:p>
        </w:tc>
        <w:tc>
          <w:tcPr>
            <w:tcW w:w="2790" w:type="dxa"/>
          </w:tcPr>
          <w:p w14:paraId="564D7208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 xml:space="preserve">MANJAK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IZ PRETHODNE GODINE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741C886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-17.569,84</w:t>
            </w:r>
          </w:p>
        </w:tc>
        <w:tc>
          <w:tcPr>
            <w:tcW w:w="1622" w:type="dxa"/>
          </w:tcPr>
          <w:p w14:paraId="05AAC78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03B5E26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</w:tr>
      <w:tr w:rsidR="00A21334" w14:paraId="11FFA091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shd w:val="clear" w:color="auto" w:fill="D9E2F3" w:themeFill="accent1" w:themeFillTint="33"/>
          </w:tcPr>
          <w:p w14:paraId="7DC93CDA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D.</w:t>
            </w:r>
          </w:p>
        </w:tc>
        <w:tc>
          <w:tcPr>
            <w:tcW w:w="2790" w:type="dxa"/>
            <w:shd w:val="clear" w:color="auto" w:fill="D9E2F3" w:themeFill="accent1" w:themeFillTint="33"/>
          </w:tcPr>
          <w:p w14:paraId="2C306C4F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VIŠAK/MANJAK PRIHODA            (A-B-C)</w:t>
            </w:r>
          </w:p>
        </w:tc>
        <w:tc>
          <w:tcPr>
            <w:tcW w:w="1430" w:type="dxa"/>
            <w:shd w:val="clear" w:color="auto" w:fill="D9E2F3" w:themeFill="accent1" w:themeFillTint="33"/>
          </w:tcPr>
          <w:p w14:paraId="58B7E8F1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yellow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22" w:type="dxa"/>
            <w:shd w:val="clear" w:color="auto" w:fill="D9E2F3" w:themeFill="accent1" w:themeFillTint="33"/>
          </w:tcPr>
          <w:p w14:paraId="22704204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47A14C7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hr-HR"/>
                <w14:ligatures w14:val="none"/>
              </w:rPr>
              <w:t>0,00</w:t>
            </w:r>
          </w:p>
        </w:tc>
      </w:tr>
    </w:tbl>
    <w:p w14:paraId="16BF8FA7" w14:textId="77777777" w:rsidR="00A21334" w:rsidRDefault="000000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  <w:t xml:space="preserve">  </w:t>
      </w:r>
    </w:p>
    <w:p w14:paraId="4DF6BD41" w14:textId="77777777" w:rsidR="00A21334" w:rsidRDefault="00A21334">
      <w:pPr>
        <w:rPr>
          <w:rFonts w:cstheme="minorHAnsi"/>
          <w:sz w:val="44"/>
          <w:szCs w:val="44"/>
        </w:rPr>
      </w:pPr>
    </w:p>
    <w:p w14:paraId="0DC73A50" w14:textId="77777777" w:rsidR="00A21334" w:rsidRDefault="00A21334">
      <w:pPr>
        <w:rPr>
          <w:rFonts w:cstheme="minorHAnsi"/>
          <w:sz w:val="44"/>
          <w:szCs w:val="44"/>
        </w:rPr>
      </w:pPr>
    </w:p>
    <w:p w14:paraId="2F14BE6B" w14:textId="77777777" w:rsidR="00A21334" w:rsidRDefault="00A21334">
      <w:pPr>
        <w:rPr>
          <w:rFonts w:cstheme="minorHAnsi"/>
          <w:sz w:val="44"/>
          <w:szCs w:val="44"/>
        </w:rPr>
      </w:pPr>
    </w:p>
    <w:p w14:paraId="49D9E0EB" w14:textId="77777777" w:rsidR="00A21334" w:rsidRDefault="0000000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14:paraId="46966D3D" w14:textId="77777777" w:rsidR="00A21334" w:rsidRDefault="00000000">
      <w:pPr>
        <w:numPr>
          <w:ilvl w:val="1"/>
          <w:numId w:val="2"/>
        </w:numPr>
        <w:spacing w:after="0"/>
        <w:contextualSpacing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lastRenderedPageBreak/>
        <w:t>PRIHODI PLANA PRORAČUNA OPĆINE PUNAT</w:t>
      </w:r>
    </w:p>
    <w:p w14:paraId="13E99D25" w14:textId="77777777" w:rsidR="00A21334" w:rsidRDefault="00A21334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043E6212" w14:textId="77777777" w:rsidR="00A21334" w:rsidRDefault="000000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Plan prihoda i primitaka Proračuna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Općine Punat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za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 zasniva se na  vlastitim procjenama javnih prihoda, a u skladu sa regulativom koja određuje proračunske prihode. Plan prihoda i primitaka zasniva se također na važećim zakonskim propisima u trenutku podnošenja prijedloga Proračuna za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 i projekcije za razdoblje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i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godine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Općinskom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vijeću, kojima se utvrđuju izvori financiranja i pripadnost pojedinih prihoda za financiranje djelokruga poslova iz nadležnosti lokalne i područne (regionalne) samouprave.</w:t>
      </w:r>
    </w:p>
    <w:p w14:paraId="684506E8" w14:textId="77777777" w:rsidR="00A21334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dostavljenim Uputama za izradu proračuna JLP(R)S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.-202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godine, nisu dani parametri kretanja prihoda u planskom razdoblju.</w:t>
      </w:r>
    </w:p>
    <w:p w14:paraId="3B26DF3A" w14:textId="77777777" w:rsidR="00A21334" w:rsidRDefault="00A21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4E91F4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kupni prihodi i primici planirani su u iznosu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4.918.311,73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eur, dok su u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projicirani u iznosu od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5.491.499,00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eur, odnosno u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u iznosu od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4.929.004,00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eur. </w:t>
      </w:r>
    </w:p>
    <w:p w14:paraId="2A422E56" w14:textId="77777777" w:rsidR="00A21334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47F853E9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</w:p>
    <w:p w14:paraId="1CB7F41A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Tablica 2. Planirani prihodi Proračuna 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Općine Punat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razdoblje od 202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- 202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godine </w:t>
      </w:r>
    </w:p>
    <w:p w14:paraId="581C56D8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23C8EA9" w14:textId="77777777" w:rsidR="00A21334" w:rsidRDefault="00000000">
      <w:pPr>
        <w:numPr>
          <w:ilvl w:val="0"/>
          <w:numId w:val="3"/>
        </w:num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u eurima-</w:t>
      </w:r>
    </w:p>
    <w:tbl>
      <w:tblPr>
        <w:tblStyle w:val="Tablicapopisa4-isticanje11"/>
        <w:tblW w:w="9797" w:type="dxa"/>
        <w:jc w:val="center"/>
        <w:tblLook w:val="04A0" w:firstRow="1" w:lastRow="0" w:firstColumn="1" w:lastColumn="0" w:noHBand="0" w:noVBand="1"/>
      </w:tblPr>
      <w:tblGrid>
        <w:gridCol w:w="846"/>
        <w:gridCol w:w="4400"/>
        <w:gridCol w:w="1559"/>
        <w:gridCol w:w="1496"/>
        <w:gridCol w:w="1496"/>
      </w:tblGrid>
      <w:tr w:rsidR="00A21334" w14:paraId="06D65891" w14:textId="77777777" w:rsidTr="00A21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</w:tcPr>
          <w:p w14:paraId="7839BC56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Konto</w:t>
            </w:r>
          </w:p>
        </w:tc>
        <w:tc>
          <w:tcPr>
            <w:tcW w:w="4400" w:type="dxa"/>
            <w:noWrap/>
            <w:vAlign w:val="center"/>
          </w:tcPr>
          <w:p w14:paraId="59FB325E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559" w:type="dxa"/>
            <w:noWrap/>
            <w:vAlign w:val="center"/>
          </w:tcPr>
          <w:p w14:paraId="14C81532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5AE1D8DC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25494485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A21334" w14:paraId="1CED1ECA" w14:textId="77777777" w:rsidTr="00A2133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  <w:noWrap/>
          </w:tcPr>
          <w:p w14:paraId="681079A1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400" w:type="dxa"/>
            <w:shd w:val="clear" w:color="auto" w:fill="D9E2F3" w:themeFill="accent1" w:themeFillTint="33"/>
            <w:noWrap/>
          </w:tcPr>
          <w:p w14:paraId="5B171637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Prihodi poslovanja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</w:tcPr>
          <w:p w14:paraId="1FBC1812" w14:textId="77777777" w:rsidR="00A21334" w:rsidRDefault="00000000">
            <w:pPr>
              <w:wordWrap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4.507.449,73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0DF42716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5.040.485,00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6A8C217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4.610.280,00</w:t>
            </w:r>
          </w:p>
        </w:tc>
      </w:tr>
      <w:tr w:rsidR="00A21334" w14:paraId="1EEADEAA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C2DA36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4400" w:type="dxa"/>
          </w:tcPr>
          <w:p w14:paraId="013A379E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poreza</w:t>
            </w:r>
          </w:p>
        </w:tc>
        <w:tc>
          <w:tcPr>
            <w:tcW w:w="1559" w:type="dxa"/>
          </w:tcPr>
          <w:p w14:paraId="31744E63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2.432.448,73</w:t>
            </w:r>
          </w:p>
        </w:tc>
        <w:tc>
          <w:tcPr>
            <w:tcW w:w="1496" w:type="dxa"/>
          </w:tcPr>
          <w:p w14:paraId="55F00953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2.524.204,00</w:t>
            </w:r>
          </w:p>
        </w:tc>
        <w:tc>
          <w:tcPr>
            <w:tcW w:w="1496" w:type="dxa"/>
          </w:tcPr>
          <w:p w14:paraId="74A2A6E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2.549.444,00</w:t>
            </w:r>
          </w:p>
        </w:tc>
      </w:tr>
      <w:tr w:rsidR="00A21334" w14:paraId="5C4A4503" w14:textId="77777777" w:rsidTr="00A21334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336CF04F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754BC44A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Pomoći iz inozemstva i od subjekata unutar općeg proračuna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6B6308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403.000,00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671CA85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906.575,00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167331CD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427.155,00</w:t>
            </w:r>
          </w:p>
        </w:tc>
      </w:tr>
      <w:tr w:rsidR="00A21334" w14:paraId="1FA3E0D9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465F21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4400" w:type="dxa"/>
          </w:tcPr>
          <w:p w14:paraId="2EBC4311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imovine</w:t>
            </w:r>
          </w:p>
        </w:tc>
        <w:tc>
          <w:tcPr>
            <w:tcW w:w="1559" w:type="dxa"/>
          </w:tcPr>
          <w:p w14:paraId="0765A0F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674.043,00</w:t>
            </w:r>
          </w:p>
        </w:tc>
        <w:tc>
          <w:tcPr>
            <w:tcW w:w="1496" w:type="dxa"/>
            <w:noWrap/>
          </w:tcPr>
          <w:p w14:paraId="60DE047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528.943,00</w:t>
            </w:r>
          </w:p>
        </w:tc>
        <w:tc>
          <w:tcPr>
            <w:tcW w:w="1496" w:type="dxa"/>
            <w:noWrap/>
          </w:tcPr>
          <w:p w14:paraId="405F35E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526.083,00</w:t>
            </w:r>
          </w:p>
        </w:tc>
      </w:tr>
      <w:tr w:rsidR="00A21334" w14:paraId="161545D4" w14:textId="77777777" w:rsidTr="00A21334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6CF596F5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24AD22B3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Prihodi od upravnih i administrativnih pristojbi, pristojbi po posebnim propisima i naknada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11903D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922.958,00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57B6497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1.005.763,00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072E4B8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1.032.598,00</w:t>
            </w:r>
          </w:p>
        </w:tc>
      </w:tr>
      <w:tr w:rsidR="00A21334" w14:paraId="791C8C0E" w14:textId="77777777" w:rsidTr="00A21334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4924952E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1B7BE446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AF10DB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0CA93AB2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533D7E21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0,00</w:t>
            </w:r>
          </w:p>
        </w:tc>
      </w:tr>
      <w:tr w:rsidR="00A21334" w14:paraId="6AA09192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5735EDA5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4AEAB6D2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Kazne, upravne mjere i ostali prihodi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974750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75.000,00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73B94B4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75.000,00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2688D6A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75.000,00</w:t>
            </w:r>
          </w:p>
        </w:tc>
      </w:tr>
      <w:tr w:rsidR="00A21334" w14:paraId="62B017FF" w14:textId="77777777" w:rsidTr="00A2133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</w:tcPr>
          <w:p w14:paraId="2CFD8F5E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400" w:type="dxa"/>
            <w:noWrap/>
          </w:tcPr>
          <w:p w14:paraId="1671D042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Prihodi od prodaje nefinancijske imovine</w:t>
            </w:r>
          </w:p>
        </w:tc>
        <w:tc>
          <w:tcPr>
            <w:tcW w:w="1559" w:type="dxa"/>
            <w:noWrap/>
          </w:tcPr>
          <w:p w14:paraId="274F35EA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410.862,00</w:t>
            </w:r>
          </w:p>
        </w:tc>
        <w:tc>
          <w:tcPr>
            <w:tcW w:w="1496" w:type="dxa"/>
            <w:noWrap/>
          </w:tcPr>
          <w:p w14:paraId="24D425D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451.014,00</w:t>
            </w:r>
          </w:p>
        </w:tc>
        <w:tc>
          <w:tcPr>
            <w:tcW w:w="1496" w:type="dxa"/>
            <w:noWrap/>
          </w:tcPr>
          <w:p w14:paraId="79BCFFD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318.724,00</w:t>
            </w:r>
          </w:p>
        </w:tc>
      </w:tr>
      <w:tr w:rsidR="00A21334" w14:paraId="4D4EA2B8" w14:textId="77777777" w:rsidTr="00A21334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18958EB2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3C8FFC36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prodaje ne proizvedene dugotrajne imovine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ACB6A45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410.062,00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68B8E44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450.214,00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181A8AE1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317.924,00</w:t>
            </w:r>
          </w:p>
        </w:tc>
      </w:tr>
      <w:tr w:rsidR="00A21334" w14:paraId="3911EEF2" w14:textId="77777777" w:rsidTr="00A21334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C54389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4400" w:type="dxa"/>
          </w:tcPr>
          <w:p w14:paraId="16BCBEAE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Prihodi od prodaje proizvedene dugotrajne imovine</w:t>
            </w:r>
          </w:p>
        </w:tc>
        <w:tc>
          <w:tcPr>
            <w:tcW w:w="1559" w:type="dxa"/>
          </w:tcPr>
          <w:p w14:paraId="61EBDFD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1496" w:type="dxa"/>
          </w:tcPr>
          <w:p w14:paraId="30F82C81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1496" w:type="dxa"/>
          </w:tcPr>
          <w:p w14:paraId="3BD01712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800,00</w:t>
            </w:r>
          </w:p>
        </w:tc>
      </w:tr>
      <w:tr w:rsidR="00A21334" w14:paraId="502BF3F8" w14:textId="77777777" w:rsidTr="00A21334">
        <w:trPr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shd w:val="clear" w:color="auto" w:fill="D9E2F3" w:themeFill="accent1" w:themeFillTint="33"/>
          </w:tcPr>
          <w:p w14:paraId="000898DA" w14:textId="77777777" w:rsidR="00A21334" w:rsidRDefault="0000000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bookmarkStart w:id="0" w:name="_Hlk89431450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UKUPNO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4DC9BFD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4.918.311,73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7E592CF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5.491.499,00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3E1F41C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4.929.004,00</w:t>
            </w:r>
          </w:p>
        </w:tc>
      </w:tr>
      <w:bookmarkEnd w:id="0"/>
    </w:tbl>
    <w:p w14:paraId="413B4829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A4C2949" w14:textId="77777777" w:rsidR="00A21334" w:rsidRDefault="00A21334">
      <w:pPr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76D88792" w14:textId="77777777" w:rsidR="00A21334" w:rsidRDefault="00A21334">
      <w:pPr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6BD5D2C3" w14:textId="77777777" w:rsidR="00A21334" w:rsidRDefault="00A21334">
      <w:pPr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0503843F" w14:textId="77777777" w:rsidR="00A21334" w:rsidRDefault="00A21334">
      <w:pPr>
        <w:rPr>
          <w:rFonts w:cstheme="minorHAnsi"/>
          <w:sz w:val="44"/>
          <w:szCs w:val="44"/>
        </w:rPr>
      </w:pPr>
    </w:p>
    <w:p w14:paraId="72F50CAC" w14:textId="77777777" w:rsidR="00A21334" w:rsidRDefault="0000000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14:paraId="3DF40DA2" w14:textId="77777777" w:rsidR="00A21334" w:rsidRDefault="00000000">
      <w:pPr>
        <w:jc w:val="both"/>
        <w:rPr>
          <w:rFonts w:ascii="Times New Roman" w:hAnsi="Times New Roman" w:cs="Times New Roman"/>
          <w:b/>
          <w:kern w:val="0"/>
          <w:sz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lastRenderedPageBreak/>
        <w:t>PRIHODI POSLOVANJA</w:t>
      </w:r>
    </w:p>
    <w:p w14:paraId="56BBD019" w14:textId="77777777" w:rsidR="00A21334" w:rsidRDefault="000000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Ukupni prihodi poslovanja u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4.507.449,73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Udio pojedinih prihoda u strukturi prihoda poslovanja iznosi:</w:t>
      </w:r>
    </w:p>
    <w:p w14:paraId="7E2B3D86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prihodi od poreza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53,96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%</w:t>
      </w:r>
    </w:p>
    <w:p w14:paraId="5BE433D7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pomoći iz inozemstva i od subjekata unutar općeg proračuna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8,94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5CA5AA2D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prihodi od imovine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14,95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</w:p>
    <w:p w14:paraId="5A7E6FD7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prihod od upravnih i administrativnih pristojbi, pristojbi po posebnim propisima i naknada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20,48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3F956FBC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/>
          <w:bCs/>
          <w:kern w:val="0"/>
          <w:sz w:val="24"/>
          <w:szCs w:val="24"/>
          <w:lang w:val="en-US" w:eastAsia="hr-HR"/>
          <w14:ligatures w14:val="none"/>
        </w:rPr>
        <w:t>p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rihodi od prodaje proizvoda i robe te pruženih usluga i prihodi od donacija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val="en-US" w:eastAsia="hr-HR"/>
          <w14:ligatures w14:val="none"/>
        </w:rPr>
        <w:t xml:space="preserve"> 0,00%</w:t>
      </w:r>
    </w:p>
    <w:p w14:paraId="62EC56F6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kazne, upravne mjere i ostali prihodi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 xml:space="preserve"> 1,66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%.</w:t>
      </w:r>
    </w:p>
    <w:p w14:paraId="1FD10924" w14:textId="77777777" w:rsidR="00A21334" w:rsidRDefault="00A213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1586187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Kroz projekcije za slijedeće dvije godine ukupni prihodi poslovanja planirani su u iznosima od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5.040.485,00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 za 2026. godinu, odnosno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4.610.280,00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 za 2027. godinu. </w:t>
      </w:r>
    </w:p>
    <w:p w14:paraId="26A23B68" w14:textId="77777777" w:rsidR="00A21334" w:rsidRDefault="00A213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CDC392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Najznačajniji prihodi proračuna unutar skupine prihoda poslovanja su: prihodi od poreza,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prihodi od upravnih i administrativnih pristojbi, pristojbi po posebnim propisima i naknadama,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pomoći iz inozemstva i od subjekata unutar općeg proračuna, prihodi od imovine, kazne, upravne mjere i ostali prihodi, dok prihodi od prodaje proizvoda i robe te pruženih usluga i prihodi od donacija nisu planirani. </w:t>
      </w:r>
    </w:p>
    <w:p w14:paraId="48D49A1F" w14:textId="77777777" w:rsidR="00A21334" w:rsidRDefault="00A213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296830" w14:textId="77777777" w:rsidR="00A21334" w:rsidRDefault="000000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Prihodi od poreza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su najznačajnijih izvora financiranja proračuna te njihov plan u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iznosi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2.432.448,73</w:t>
      </w:r>
      <w:r w:rsidRPr="002D677F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eur što je za 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21,34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više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odnosu na plan prethodne,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planirani su u skladu sa kretanjem istih u devet mjeseci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godine, trendovima ostvarenima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 u odnosu na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godinu, te makroekonomskim pokazateljima.</w:t>
      </w:r>
    </w:p>
    <w:p w14:paraId="128EB383" w14:textId="77777777" w:rsidR="00A21334" w:rsidRDefault="00A213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789534E" w14:textId="77777777" w:rsidR="00A21334" w:rsidRDefault="000000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hr-HR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>Prihodi s osnove upravnih i administrativnih pristojbi, pristojbi po posebnim propisima i naknada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 202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922.958,00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eur, dok projekcija za 202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godinu iznosi 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1.005.763,00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eur, a 202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godine 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1.032.598,00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eur. Prihodi se odnose na prihode od prodaje pristojbi i državnih biljega, ostalih pristojbi i naknada, s osnove 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prihoda vodnog gospodarstva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 ostalih nespomenutih prihoda te s osnove komunalnog doprinosa i naknada. </w:t>
      </w:r>
    </w:p>
    <w:p w14:paraId="3A4D78FB" w14:textId="77777777" w:rsidR="00A21334" w:rsidRDefault="00A213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926FE03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Prihodi od pomoći iz inozemstva i od subjekata unutar općeg proračuna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najvećim dijelom odnose se na sredstva iz državnog proračuna i temeljem prijenosa EU sredstava. Ukupno planirani prihodi od pomoći u 2025. godini iznose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403.000,00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eur, u 2026. godini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906.575,00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eur, a u 2027. godini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427.155,00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eur. </w:t>
      </w:r>
    </w:p>
    <w:p w14:paraId="77EBA835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6A0E168" w14:textId="77777777" w:rsidR="00A21334" w:rsidRDefault="0000000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Tablica 3. Planirane pomoći za 2025. godinu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</w:t>
      </w: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- u eurima -</w:t>
      </w:r>
    </w:p>
    <w:tbl>
      <w:tblPr>
        <w:tblStyle w:val="Tablicapopisa4-isticanje11"/>
        <w:tblW w:w="9924" w:type="dxa"/>
        <w:jc w:val="center"/>
        <w:tblLook w:val="04A0" w:firstRow="1" w:lastRow="0" w:firstColumn="1" w:lastColumn="0" w:noHBand="0" w:noVBand="1"/>
      </w:tblPr>
      <w:tblGrid>
        <w:gridCol w:w="650"/>
        <w:gridCol w:w="2464"/>
        <w:gridCol w:w="1848"/>
        <w:gridCol w:w="3481"/>
        <w:gridCol w:w="1481"/>
      </w:tblGrid>
      <w:tr w:rsidR="00A21334" w14:paraId="5F229C17" w14:textId="77777777" w:rsidTr="00A21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Align w:val="center"/>
          </w:tcPr>
          <w:p w14:paraId="04F418D8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Red. br.</w:t>
            </w:r>
          </w:p>
        </w:tc>
        <w:tc>
          <w:tcPr>
            <w:tcW w:w="2464" w:type="dxa"/>
            <w:vAlign w:val="center"/>
          </w:tcPr>
          <w:p w14:paraId="2369C394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Izvor</w:t>
            </w:r>
          </w:p>
        </w:tc>
        <w:tc>
          <w:tcPr>
            <w:tcW w:w="5329" w:type="dxa"/>
            <w:gridSpan w:val="2"/>
            <w:vAlign w:val="center"/>
          </w:tcPr>
          <w:p w14:paraId="2B80C595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Namjena</w:t>
            </w:r>
          </w:p>
        </w:tc>
        <w:tc>
          <w:tcPr>
            <w:tcW w:w="1481" w:type="dxa"/>
            <w:vAlign w:val="center"/>
          </w:tcPr>
          <w:p w14:paraId="06289D2E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Iznos pomoći</w:t>
            </w:r>
          </w:p>
        </w:tc>
      </w:tr>
      <w:tr w:rsidR="00A21334" w14:paraId="01216B00" w14:textId="77777777" w:rsidTr="00A21334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5"/>
            <w:shd w:val="clear" w:color="auto" w:fill="D9E2F3" w:themeFill="accent1" w:themeFillTint="33"/>
          </w:tcPr>
          <w:p w14:paraId="4DCB08E7" w14:textId="77777777" w:rsidR="00A213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TEKUĆE POMOĆI</w:t>
            </w:r>
          </w:p>
        </w:tc>
      </w:tr>
      <w:tr w:rsidR="00A21334" w14:paraId="6240B46B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3" w:type="dxa"/>
            <w:gridSpan w:val="4"/>
          </w:tcPr>
          <w:p w14:paraId="7A1293BF" w14:textId="77777777" w:rsidR="00A2133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Tekuće pomoći proračunu iz drugih proračuna</w:t>
            </w:r>
          </w:p>
        </w:tc>
        <w:tc>
          <w:tcPr>
            <w:tcW w:w="1481" w:type="dxa"/>
          </w:tcPr>
          <w:p w14:paraId="35BB01CC" w14:textId="77777777" w:rsidR="00A21334" w:rsidRDefault="00A2133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21334" w14:paraId="31A49559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D9E2F3" w:themeFill="accent1" w:themeFillTint="33"/>
          </w:tcPr>
          <w:p w14:paraId="67564762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>1.</w:t>
            </w:r>
          </w:p>
        </w:tc>
        <w:tc>
          <w:tcPr>
            <w:tcW w:w="2464" w:type="dxa"/>
            <w:shd w:val="clear" w:color="auto" w:fill="D9E2F3" w:themeFill="accent1" w:themeFillTint="33"/>
          </w:tcPr>
          <w:p w14:paraId="73FD649F" w14:textId="77777777" w:rsidR="00A21334" w:rsidRDefault="000000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Županijski proračun</w:t>
            </w:r>
          </w:p>
        </w:tc>
        <w:tc>
          <w:tcPr>
            <w:tcW w:w="5329" w:type="dxa"/>
            <w:gridSpan w:val="2"/>
            <w:shd w:val="clear" w:color="auto" w:fill="D9E2F3" w:themeFill="accent1" w:themeFillTint="33"/>
          </w:tcPr>
          <w:p w14:paraId="5B0A28C9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izbori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2FCB9F22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10.800,00</w:t>
            </w:r>
          </w:p>
        </w:tc>
      </w:tr>
      <w:tr w:rsidR="00A21334" w14:paraId="2E737C01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D9E2F3" w:themeFill="accent1" w:themeFillTint="33"/>
          </w:tcPr>
          <w:p w14:paraId="12024170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2.</w:t>
            </w:r>
          </w:p>
        </w:tc>
        <w:tc>
          <w:tcPr>
            <w:tcW w:w="2464" w:type="dxa"/>
            <w:shd w:val="clear" w:color="auto" w:fill="D9E2F3" w:themeFill="accent1" w:themeFillTint="33"/>
          </w:tcPr>
          <w:p w14:paraId="7B9531D0" w14:textId="77777777" w:rsidR="00A21334" w:rsidRDefault="000000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Županijski proračun</w:t>
            </w:r>
          </w:p>
        </w:tc>
        <w:tc>
          <w:tcPr>
            <w:tcW w:w="5329" w:type="dxa"/>
            <w:gridSpan w:val="2"/>
            <w:shd w:val="clear" w:color="auto" w:fill="D9E2F3" w:themeFill="accent1" w:themeFillTint="33"/>
          </w:tcPr>
          <w:p w14:paraId="25A4E762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naknade građanima i kućanstvima (pomoć i njega)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424D66F4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5.000,00</w:t>
            </w:r>
          </w:p>
        </w:tc>
      </w:tr>
      <w:tr w:rsidR="00A21334" w14:paraId="141D1B7B" w14:textId="77777777" w:rsidTr="00A21334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D9E2F3" w:themeFill="accent1" w:themeFillTint="33"/>
          </w:tcPr>
          <w:p w14:paraId="1F68F248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>3.</w:t>
            </w:r>
          </w:p>
        </w:tc>
        <w:tc>
          <w:tcPr>
            <w:tcW w:w="2464" w:type="dxa"/>
            <w:shd w:val="clear" w:color="auto" w:fill="D9E2F3" w:themeFill="accent1" w:themeFillTint="33"/>
          </w:tcPr>
          <w:p w14:paraId="18236550" w14:textId="77777777" w:rsidR="00A21334" w:rsidRDefault="0000000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Državni proračun</w:t>
            </w:r>
          </w:p>
        </w:tc>
        <w:tc>
          <w:tcPr>
            <w:tcW w:w="5329" w:type="dxa"/>
            <w:gridSpan w:val="2"/>
            <w:shd w:val="clear" w:color="auto" w:fill="D9E2F3" w:themeFill="accent1" w:themeFillTint="33"/>
          </w:tcPr>
          <w:p w14:paraId="20F26789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- Povećanje temeljnog kapitala - SIK-EKI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0E7AB276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48.895,00</w:t>
            </w:r>
          </w:p>
        </w:tc>
      </w:tr>
      <w:tr w:rsidR="00A21334" w14:paraId="53228247" w14:textId="77777777" w:rsidTr="00A2133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3" w:type="dxa"/>
            <w:gridSpan w:val="4"/>
          </w:tcPr>
          <w:p w14:paraId="3BB40384" w14:textId="77777777" w:rsidR="00A2133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UKUPNO</w:t>
            </w:r>
          </w:p>
        </w:tc>
        <w:tc>
          <w:tcPr>
            <w:tcW w:w="1481" w:type="dxa"/>
          </w:tcPr>
          <w:p w14:paraId="03F7C3E3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64.695,00</w:t>
            </w:r>
          </w:p>
        </w:tc>
      </w:tr>
      <w:tr w:rsidR="00A21334" w14:paraId="2DD1CD93" w14:textId="77777777" w:rsidTr="00A21334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5"/>
            <w:shd w:val="clear" w:color="auto" w:fill="D9E2F3" w:themeFill="accent1" w:themeFillTint="33"/>
          </w:tcPr>
          <w:p w14:paraId="6DECBB14" w14:textId="77777777" w:rsidR="00A21334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KAPITALNE POMOĆI</w:t>
            </w:r>
          </w:p>
        </w:tc>
      </w:tr>
      <w:tr w:rsidR="00A21334" w14:paraId="5A0BFE0A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D9E2F3" w:themeFill="accent1" w:themeFillTint="33"/>
          </w:tcPr>
          <w:p w14:paraId="64C85C0A" w14:textId="77777777" w:rsidR="00A2133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1.</w:t>
            </w:r>
          </w:p>
        </w:tc>
        <w:tc>
          <w:tcPr>
            <w:tcW w:w="2464" w:type="dxa"/>
            <w:shd w:val="clear" w:color="auto" w:fill="D9E2F3" w:themeFill="accent1" w:themeFillTint="33"/>
          </w:tcPr>
          <w:p w14:paraId="757FCB17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Županijski proračun</w:t>
            </w:r>
          </w:p>
        </w:tc>
        <w:tc>
          <w:tcPr>
            <w:tcW w:w="5329" w:type="dxa"/>
            <w:gridSpan w:val="2"/>
            <w:shd w:val="clear" w:color="auto" w:fill="D9E2F3" w:themeFill="accent1" w:themeFillTint="33"/>
          </w:tcPr>
          <w:p w14:paraId="429F1AEE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- subvencioniranje poljoprivrednika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6CD8F3C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3.500,00</w:t>
            </w:r>
          </w:p>
        </w:tc>
      </w:tr>
      <w:tr w:rsidR="00A21334" w14:paraId="0E612084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14:paraId="191DB80D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>2.</w:t>
            </w:r>
          </w:p>
        </w:tc>
        <w:tc>
          <w:tcPr>
            <w:tcW w:w="2464" w:type="dxa"/>
          </w:tcPr>
          <w:p w14:paraId="242A8C36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Državni proračun </w:t>
            </w:r>
          </w:p>
        </w:tc>
        <w:tc>
          <w:tcPr>
            <w:tcW w:w="5329" w:type="dxa"/>
            <w:gridSpan w:val="2"/>
          </w:tcPr>
          <w:p w14:paraId="0F51C405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- dodatna ulaganja na građevinskim objektima (javna rasvjeta)</w:t>
            </w:r>
          </w:p>
        </w:tc>
        <w:tc>
          <w:tcPr>
            <w:tcW w:w="1481" w:type="dxa"/>
          </w:tcPr>
          <w:p w14:paraId="4ED9A37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4.000,00</w:t>
            </w:r>
          </w:p>
        </w:tc>
      </w:tr>
      <w:tr w:rsidR="00A21334" w14:paraId="5FD606B1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14:paraId="3F292D56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>3.</w:t>
            </w:r>
          </w:p>
        </w:tc>
        <w:tc>
          <w:tcPr>
            <w:tcW w:w="2464" w:type="dxa"/>
          </w:tcPr>
          <w:p w14:paraId="29BD1DBA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Državni proračun</w:t>
            </w:r>
          </w:p>
        </w:tc>
        <w:tc>
          <w:tcPr>
            <w:tcW w:w="5329" w:type="dxa"/>
            <w:gridSpan w:val="2"/>
          </w:tcPr>
          <w:p w14:paraId="572A281C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Kulturni centar Punat</w:t>
            </w:r>
          </w:p>
        </w:tc>
        <w:tc>
          <w:tcPr>
            <w:tcW w:w="1481" w:type="dxa"/>
          </w:tcPr>
          <w:p w14:paraId="07519537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190.500,00</w:t>
            </w:r>
          </w:p>
        </w:tc>
      </w:tr>
      <w:tr w:rsidR="00A21334" w14:paraId="25E7EF03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D9E2F3" w:themeFill="accent1" w:themeFillTint="33"/>
          </w:tcPr>
          <w:p w14:paraId="30CB987B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>4.</w:t>
            </w:r>
          </w:p>
        </w:tc>
        <w:tc>
          <w:tcPr>
            <w:tcW w:w="2464" w:type="dxa"/>
            <w:shd w:val="clear" w:color="auto" w:fill="D9E2F3" w:themeFill="accent1" w:themeFillTint="33"/>
          </w:tcPr>
          <w:p w14:paraId="0DA57AE8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Državni proračun</w:t>
            </w:r>
          </w:p>
        </w:tc>
        <w:tc>
          <w:tcPr>
            <w:tcW w:w="5329" w:type="dxa"/>
            <w:gridSpan w:val="2"/>
            <w:shd w:val="clear" w:color="auto" w:fill="D9E2F3" w:themeFill="accent1" w:themeFillTint="33"/>
          </w:tcPr>
          <w:p w14:paraId="2068D00E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Stara škola - Stara Baška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70025E4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80.000,00</w:t>
            </w:r>
          </w:p>
        </w:tc>
      </w:tr>
      <w:tr w:rsidR="00A21334" w14:paraId="663993A3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3"/>
            <w:shd w:val="clear" w:color="auto" w:fill="D9E2F3" w:themeFill="accent1" w:themeFillTint="33"/>
          </w:tcPr>
          <w:p w14:paraId="4DC90D7F" w14:textId="77777777" w:rsidR="00A21334" w:rsidRDefault="00000000">
            <w:pPr>
              <w:spacing w:after="0" w:line="240" w:lineRule="auto"/>
              <w:rPr>
                <w:rFonts w:ascii="Times New Roman" w:hAnsi="Times New Roman"/>
                <w:bCs w:val="0"/>
              </w:rPr>
            </w:pPr>
            <w:bookmarkStart w:id="1" w:name="_Hlk118750537"/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4962" w:type="dxa"/>
            <w:gridSpan w:val="2"/>
            <w:shd w:val="clear" w:color="auto" w:fill="D9E2F3" w:themeFill="accent1" w:themeFillTint="33"/>
          </w:tcPr>
          <w:p w14:paraId="35179EF3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278.000,00</w:t>
            </w:r>
          </w:p>
        </w:tc>
      </w:tr>
      <w:tr w:rsidR="00A21334" w14:paraId="2381015C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3" w:type="dxa"/>
            <w:gridSpan w:val="4"/>
          </w:tcPr>
          <w:p w14:paraId="49E1B95E" w14:textId="77777777" w:rsidR="00A21334" w:rsidRDefault="00000000">
            <w:pPr>
              <w:spacing w:after="0" w:line="24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Pomoći proračunu temeljem prijenosa sredstava EU</w:t>
            </w:r>
          </w:p>
        </w:tc>
        <w:tc>
          <w:tcPr>
            <w:tcW w:w="1481" w:type="dxa"/>
          </w:tcPr>
          <w:p w14:paraId="73912D3A" w14:textId="77777777" w:rsidR="00A21334" w:rsidRDefault="00A2133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A21334" w14:paraId="1968C5F2" w14:textId="77777777" w:rsidTr="00A213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D9E2F3" w:themeFill="accent1" w:themeFillTint="33"/>
          </w:tcPr>
          <w:p w14:paraId="271DE07E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>1.</w:t>
            </w:r>
          </w:p>
        </w:tc>
        <w:tc>
          <w:tcPr>
            <w:tcW w:w="2464" w:type="dxa"/>
            <w:shd w:val="clear" w:color="auto" w:fill="D9E2F3" w:themeFill="accent1" w:themeFillTint="33"/>
          </w:tcPr>
          <w:p w14:paraId="403A12D9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Državni proračun-prijenos EU</w:t>
            </w:r>
          </w:p>
        </w:tc>
        <w:tc>
          <w:tcPr>
            <w:tcW w:w="5329" w:type="dxa"/>
            <w:gridSpan w:val="2"/>
            <w:shd w:val="clear" w:color="auto" w:fill="D9E2F3" w:themeFill="accent1" w:themeFillTint="33"/>
          </w:tcPr>
          <w:p w14:paraId="0EF1D6D7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Stara škola - Stara Baška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6ECBBEE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60.305,00</w:t>
            </w:r>
          </w:p>
        </w:tc>
      </w:tr>
      <w:bookmarkEnd w:id="1"/>
      <w:tr w:rsidR="00A21334" w14:paraId="4A4AE265" w14:textId="77777777" w:rsidTr="00A21334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3" w:type="dxa"/>
            <w:gridSpan w:val="4"/>
            <w:shd w:val="clear" w:color="auto" w:fill="D9E2F3" w:themeFill="accent1" w:themeFillTint="33"/>
          </w:tcPr>
          <w:p w14:paraId="637E96C6" w14:textId="77777777" w:rsidR="00A2133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SVEUKUPNO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14:paraId="0A6B1D2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403.000,00</w:t>
            </w:r>
          </w:p>
        </w:tc>
      </w:tr>
    </w:tbl>
    <w:p w14:paraId="35DC2C7C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5AA36B2F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14:ligatures w14:val="none"/>
        </w:rPr>
      </w:pPr>
    </w:p>
    <w:p w14:paraId="4A53D79E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Prihodi od imovine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obuhvaćaju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prihode od kamata na oročena sredstva i depozite po viđenju te zateznih kamata, prihode s osnove naknada za koncesije, zakupa i iznajmljivanja imovine, naknada za korištenje nefinancijske imovine i ostalih prihoda od nefinancijske imovine.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Ovi prihodi dijelom se prikupljaju na redovnoj bazi, a dijelom kao jednokratni prihodi. Za 2025. godinu planirani su 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iznosu od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674.043,00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eur, dok projekcije za 2026. iznose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528.943,00 eur, 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2027. godinu iznose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526.083,00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eur. </w:t>
      </w:r>
    </w:p>
    <w:p w14:paraId="0D83B7AC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129EAD9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CIDFont+F1" w:hAnsi="CIDFont+F1"/>
          <w:color w:val="000000"/>
          <w:kern w:val="0"/>
          <w14:ligatures w14:val="none"/>
        </w:rPr>
        <w:tab/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Prihodi od kazni, upravne mjere i ostali prihodi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ostvaruju se po osnovi ostalih kazni i ostalih prihoda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Ova skupina prihoda planirana je u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val="nl-NL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u iznosu od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val="nl-NL" w:eastAsia="hr-HR"/>
          <w14:ligatures w14:val="none"/>
        </w:rPr>
        <w:t>75.000,00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val="nl-NL"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val="nl-NL" w:eastAsia="hr-HR"/>
          <w14:ligatures w14:val="none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val="nl-NL" w:eastAsia="hr-HR"/>
          <w14:ligatures w14:val="none"/>
        </w:rPr>
        <w:t>o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kroz projekcije za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val="nl-NL"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 te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val="nl-NL"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po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val="nl-NL" w:eastAsia="hr-HR"/>
          <w14:ligatures w14:val="none"/>
        </w:rPr>
        <w:t>75.000,00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eur.</w:t>
      </w:r>
    </w:p>
    <w:p w14:paraId="10234480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407A8C9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4E2E909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12B2B8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5F1C60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3D07F6B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B4FEF9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A6346E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362C9E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5A615E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8564749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F9AA31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02D825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92ABBB6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7702A43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5123192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0470BA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3655C60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958952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DC1DC57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12ECF60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D63A36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842D7E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DD2142A" w14:textId="77777777" w:rsidR="00A21334" w:rsidRDefault="00000000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lastRenderedPageBreak/>
        <w:t xml:space="preserve">Grafikon 1. Struktura planiranih prihoda poslovanja u ukupnim planiranim prihodima poslovanja Proračuna 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Općine Punat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202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godinu </w:t>
      </w:r>
    </w:p>
    <w:p w14:paraId="3F5C5D7C" w14:textId="77777777" w:rsidR="00A21334" w:rsidRDefault="00A21334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7B29CC" w14:textId="77777777" w:rsidR="00A21334" w:rsidRDefault="00000000">
      <w:pPr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114300" distR="114300" wp14:anchorId="2222789E" wp14:editId="1F7A192C">
            <wp:extent cx="5760720" cy="3486150"/>
            <wp:effectExtent l="0" t="0" r="0" b="3810"/>
            <wp:docPr id="4" name="Picture 4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icture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6973" w14:textId="77777777" w:rsidR="00A21334" w:rsidRDefault="00A21334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17D41AA" w14:textId="77777777" w:rsidR="00A21334" w:rsidRDefault="00A21334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4CC4FE" w14:textId="77777777" w:rsidR="00A21334" w:rsidRDefault="00A21334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2DFA85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PRIHODI OD PRODAJE NEFINANCIJSKE IMOVINE </w:t>
      </w:r>
    </w:p>
    <w:p w14:paraId="5FF0ADA3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F422094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U 2025. godini planirani su u iznosu </w:t>
      </w:r>
      <w:r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410.862,00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eur, a najveći dio ovih prihoda ostvarit će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 prodajom stambenih objekata. U 2026. godini ukupni prihodi od prodaje nefinancijske imovine projiciraju se u iznosu od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451.014,00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eur, a u 2027. godini u iznosu od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318.724,00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eur.</w:t>
      </w:r>
    </w:p>
    <w:p w14:paraId="16E8A9DB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6C8F319" w14:textId="77777777" w:rsidR="00A21334" w:rsidRDefault="00A21334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22FD4C" w14:textId="77777777" w:rsidR="00A21334" w:rsidRDefault="00A21334">
      <w:pPr>
        <w:rPr>
          <w:rFonts w:cstheme="minorHAnsi"/>
          <w:sz w:val="44"/>
          <w:szCs w:val="44"/>
        </w:rPr>
      </w:pPr>
    </w:p>
    <w:p w14:paraId="575BFFC9" w14:textId="77777777" w:rsidR="00A21334" w:rsidRDefault="00000000">
      <w:pPr>
        <w:pStyle w:val="Odlomakpopis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cstheme="minorHAnsi"/>
          <w:sz w:val="44"/>
          <w:szCs w:val="44"/>
        </w:rPr>
        <w:br w:type="page"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RASHODI PLANA PRORAČUNA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hr-HR"/>
          <w14:ligatures w14:val="none"/>
        </w:rPr>
        <w:t>OPĆINE PUNAT</w:t>
      </w:r>
    </w:p>
    <w:p w14:paraId="7F709E2E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E713496" w14:textId="77777777" w:rsidR="00A21334" w:rsidRDefault="000000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Planirani iznos rashoda i izdataka proračuna za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raspodijeljen je na način da planirani rashodi poslovanja iznose 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3.306.694,89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ili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67,47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% ukupnih rashoda i izdataka, rashodi za nabavu nefinancijske imovine iznose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1.196.278,00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ili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24,41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%, te izdaci za financijsku imovinu i otplate zajmova iznose </w:t>
      </w:r>
      <w:r w:rsidRPr="002D677F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397.769,00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 ili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8,12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%</w:t>
      </w:r>
    </w:p>
    <w:p w14:paraId="77FB2B4A" w14:textId="77777777" w:rsidR="00A2133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Rashodi i izdaci, planirani su u skladu sa stvarnim potrebama svih segmenata koje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ima obvezu financijski pratiti, odnosno prema mogućnostima prihoda proračuna.</w:t>
      </w:r>
    </w:p>
    <w:p w14:paraId="79B8BD0D" w14:textId="77777777" w:rsidR="00A21334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Kao i kod prihodovne strane, tako i na rashodovnoj strani proračuna prikazuju se ukupni rashodi proračunskih korisnika.</w:t>
      </w:r>
    </w:p>
    <w:p w14:paraId="3F398FA3" w14:textId="77777777" w:rsidR="00A21334" w:rsidRDefault="00A2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E483A0E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Tablica 4. Planirani rashodi Proračuna 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Općine Punat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razdoblje od 202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- 202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. godine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14:ligatures w14:val="none"/>
        </w:rPr>
        <w:t xml:space="preserve">   </w:t>
      </w:r>
    </w:p>
    <w:p w14:paraId="53E7FCC2" w14:textId="77777777" w:rsidR="00A21334" w:rsidRDefault="00A21334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4"/>
          <w14:ligatures w14:val="none"/>
        </w:rPr>
      </w:pPr>
    </w:p>
    <w:p w14:paraId="05D877DF" w14:textId="77777777" w:rsidR="00A21334" w:rsidRDefault="00000000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ab/>
      </w:r>
      <w:bookmarkStart w:id="2" w:name="_Hlk150758653"/>
      <w:r>
        <w:rPr>
          <w:rFonts w:ascii="Times New Roman" w:hAnsi="Times New Roman" w:cs="Times New Roman"/>
          <w:color w:val="000000"/>
          <w:kern w:val="0"/>
          <w:sz w:val="20"/>
          <w:szCs w:val="20"/>
          <w14:ligatures w14:val="none"/>
        </w:rPr>
        <w:t>-u eurima -</w:t>
      </w:r>
      <w:bookmarkEnd w:id="2"/>
    </w:p>
    <w:tbl>
      <w:tblPr>
        <w:tblStyle w:val="Tablicapopisa4-isticanje11"/>
        <w:tblW w:w="9797" w:type="dxa"/>
        <w:jc w:val="center"/>
        <w:tblLook w:val="04A0" w:firstRow="1" w:lastRow="0" w:firstColumn="1" w:lastColumn="0" w:noHBand="0" w:noVBand="1"/>
      </w:tblPr>
      <w:tblGrid>
        <w:gridCol w:w="846"/>
        <w:gridCol w:w="4400"/>
        <w:gridCol w:w="1559"/>
        <w:gridCol w:w="1496"/>
        <w:gridCol w:w="1496"/>
      </w:tblGrid>
      <w:tr w:rsidR="00A21334" w14:paraId="4D0EA32F" w14:textId="77777777" w:rsidTr="00A21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vAlign w:val="center"/>
          </w:tcPr>
          <w:p w14:paraId="5C7B4DDF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Konto</w:t>
            </w:r>
          </w:p>
        </w:tc>
        <w:tc>
          <w:tcPr>
            <w:tcW w:w="4400" w:type="dxa"/>
            <w:noWrap/>
            <w:vAlign w:val="center"/>
          </w:tcPr>
          <w:p w14:paraId="01675622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OPIS</w:t>
            </w:r>
          </w:p>
        </w:tc>
        <w:tc>
          <w:tcPr>
            <w:tcW w:w="1559" w:type="dxa"/>
            <w:noWrap/>
            <w:vAlign w:val="center"/>
          </w:tcPr>
          <w:p w14:paraId="745FFBF6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2152139E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96" w:type="dxa"/>
            <w:noWrap/>
            <w:vAlign w:val="center"/>
          </w:tcPr>
          <w:p w14:paraId="64C74E2B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A21334" w14:paraId="0E9BF066" w14:textId="77777777" w:rsidTr="00A2133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  <w:noWrap/>
          </w:tcPr>
          <w:p w14:paraId="45971A91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00" w:type="dxa"/>
            <w:shd w:val="clear" w:color="auto" w:fill="D9E2F3" w:themeFill="accent1" w:themeFillTint="33"/>
            <w:noWrap/>
          </w:tcPr>
          <w:p w14:paraId="50E2F402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</w:tcPr>
          <w:p w14:paraId="2DB7C792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3.306.694,89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7E6FF384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3.173.265,00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27DE1A1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3.234.320,00</w:t>
            </w:r>
          </w:p>
        </w:tc>
      </w:tr>
      <w:tr w:rsidR="00A21334" w14:paraId="6BDA229D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623F31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400" w:type="dxa"/>
          </w:tcPr>
          <w:p w14:paraId="471EEEE0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1559" w:type="dxa"/>
          </w:tcPr>
          <w:p w14:paraId="08BEEA6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564.000,00</w:t>
            </w:r>
          </w:p>
        </w:tc>
        <w:tc>
          <w:tcPr>
            <w:tcW w:w="1496" w:type="dxa"/>
          </w:tcPr>
          <w:p w14:paraId="1F345CB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564.000,00</w:t>
            </w:r>
          </w:p>
        </w:tc>
        <w:tc>
          <w:tcPr>
            <w:tcW w:w="1496" w:type="dxa"/>
          </w:tcPr>
          <w:p w14:paraId="36D6DC9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553.300,00</w:t>
            </w:r>
          </w:p>
        </w:tc>
      </w:tr>
      <w:tr w:rsidR="00A21334" w14:paraId="4311B587" w14:textId="77777777" w:rsidTr="00A21334">
        <w:trPr>
          <w:trHeight w:val="2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2A6EC7FD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76FAFE90" w14:textId="77777777" w:rsidR="00A21334" w:rsidRDefault="00000000">
            <w:pPr>
              <w:tabs>
                <w:tab w:val="left" w:pos="3013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604C95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1.401.639,41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50AD8964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1.344.946,00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2C7C994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1.416.701,00</w:t>
            </w:r>
          </w:p>
        </w:tc>
      </w:tr>
      <w:tr w:rsidR="00A21334" w14:paraId="180629BB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6DC95F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4400" w:type="dxa"/>
          </w:tcPr>
          <w:p w14:paraId="23D3065F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Financijski rashodi</w:t>
            </w:r>
          </w:p>
        </w:tc>
        <w:tc>
          <w:tcPr>
            <w:tcW w:w="1559" w:type="dxa"/>
          </w:tcPr>
          <w:p w14:paraId="71A84193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35.462,82</w:t>
            </w:r>
          </w:p>
        </w:tc>
        <w:tc>
          <w:tcPr>
            <w:tcW w:w="1496" w:type="dxa"/>
            <w:noWrap/>
          </w:tcPr>
          <w:p w14:paraId="5EE8A727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28.925,00</w:t>
            </w:r>
          </w:p>
        </w:tc>
        <w:tc>
          <w:tcPr>
            <w:tcW w:w="1496" w:type="dxa"/>
            <w:noWrap/>
          </w:tcPr>
          <w:p w14:paraId="1E615BA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28.925,00</w:t>
            </w:r>
          </w:p>
        </w:tc>
      </w:tr>
      <w:tr w:rsidR="00A21334" w14:paraId="6F8643F4" w14:textId="77777777" w:rsidTr="00A21334">
        <w:trPr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3F7B9B6A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0405F8FE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Subvencije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42DE6B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111.000,00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1FF7D38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110.300,00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017B3AAA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110.300,00</w:t>
            </w:r>
          </w:p>
        </w:tc>
      </w:tr>
      <w:tr w:rsidR="00A21334" w14:paraId="1D0BFD36" w14:textId="77777777" w:rsidTr="00A21334">
        <w:trPr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E9CA53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4400" w:type="dxa"/>
          </w:tcPr>
          <w:p w14:paraId="000399B7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Pomoći dane u inozemstvo i unutar općeg proračuna</w:t>
            </w:r>
          </w:p>
        </w:tc>
        <w:tc>
          <w:tcPr>
            <w:tcW w:w="1559" w:type="dxa"/>
          </w:tcPr>
          <w:p w14:paraId="252CA081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576.905,00</w:t>
            </w:r>
          </w:p>
        </w:tc>
        <w:tc>
          <w:tcPr>
            <w:tcW w:w="1496" w:type="dxa"/>
            <w:noWrap/>
          </w:tcPr>
          <w:p w14:paraId="3C162FF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579.149,00</w:t>
            </w:r>
          </w:p>
        </w:tc>
        <w:tc>
          <w:tcPr>
            <w:tcW w:w="1496" w:type="dxa"/>
            <w:noWrap/>
          </w:tcPr>
          <w:p w14:paraId="3A3BA3E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579.149,00</w:t>
            </w:r>
          </w:p>
        </w:tc>
      </w:tr>
      <w:tr w:rsidR="00A21334" w14:paraId="32E304CD" w14:textId="77777777" w:rsidTr="00A21334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6FFDB2BE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72BF10B7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6F139B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202.774,00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0F3EDC7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210.256,00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799DB984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210.256,00</w:t>
            </w:r>
          </w:p>
        </w:tc>
      </w:tr>
      <w:tr w:rsidR="00A21334" w14:paraId="386A5D93" w14:textId="77777777" w:rsidTr="00A2133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3BEC16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4400" w:type="dxa"/>
          </w:tcPr>
          <w:p w14:paraId="77DCE9FF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Rashodi za donacije, kazne, naknade šteta i kapitalne pomoći</w:t>
            </w:r>
          </w:p>
        </w:tc>
        <w:tc>
          <w:tcPr>
            <w:tcW w:w="1559" w:type="dxa"/>
          </w:tcPr>
          <w:p w14:paraId="7109CBF4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414.913,66</w:t>
            </w:r>
          </w:p>
        </w:tc>
        <w:tc>
          <w:tcPr>
            <w:tcW w:w="1496" w:type="dxa"/>
            <w:noWrap/>
          </w:tcPr>
          <w:p w14:paraId="1FE23446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335.689,00</w:t>
            </w:r>
          </w:p>
        </w:tc>
        <w:tc>
          <w:tcPr>
            <w:tcW w:w="1496" w:type="dxa"/>
            <w:noWrap/>
          </w:tcPr>
          <w:p w14:paraId="43FC12C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335.689,00</w:t>
            </w:r>
          </w:p>
        </w:tc>
      </w:tr>
      <w:tr w:rsidR="00A21334" w14:paraId="1E5A9298" w14:textId="77777777" w:rsidTr="00A2133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  <w:noWrap/>
          </w:tcPr>
          <w:p w14:paraId="6394AA17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00" w:type="dxa"/>
            <w:shd w:val="clear" w:color="auto" w:fill="D9E2F3" w:themeFill="accent1" w:themeFillTint="33"/>
            <w:noWrap/>
          </w:tcPr>
          <w:p w14:paraId="594E1E74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shd w:val="clear" w:color="auto" w:fill="D9E2F3" w:themeFill="accent1" w:themeFillTint="33"/>
            <w:noWrap/>
          </w:tcPr>
          <w:p w14:paraId="24F329C6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1.196.278,00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1F965E6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1.974.155,00</w:t>
            </w:r>
          </w:p>
        </w:tc>
        <w:tc>
          <w:tcPr>
            <w:tcW w:w="1496" w:type="dxa"/>
            <w:shd w:val="clear" w:color="auto" w:fill="D9E2F3" w:themeFill="accent1" w:themeFillTint="33"/>
            <w:noWrap/>
          </w:tcPr>
          <w:p w14:paraId="66B08E93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1.350.605,00</w:t>
            </w:r>
          </w:p>
        </w:tc>
      </w:tr>
      <w:tr w:rsidR="00A21334" w14:paraId="7B5705AC" w14:textId="77777777" w:rsidTr="00A21334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B687FF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4400" w:type="dxa"/>
          </w:tcPr>
          <w:p w14:paraId="5C8BECA5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nabavu ne proizvedene dugotrajne imovine</w:t>
            </w:r>
          </w:p>
        </w:tc>
        <w:tc>
          <w:tcPr>
            <w:tcW w:w="1559" w:type="dxa"/>
          </w:tcPr>
          <w:p w14:paraId="7F0259D1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46.550,00</w:t>
            </w:r>
          </w:p>
        </w:tc>
        <w:tc>
          <w:tcPr>
            <w:tcW w:w="1496" w:type="dxa"/>
          </w:tcPr>
          <w:p w14:paraId="183CAC0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14.200,00</w:t>
            </w:r>
          </w:p>
        </w:tc>
        <w:tc>
          <w:tcPr>
            <w:tcW w:w="1496" w:type="dxa"/>
          </w:tcPr>
          <w:p w14:paraId="6A9F464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14.200,00</w:t>
            </w:r>
          </w:p>
        </w:tc>
      </w:tr>
      <w:tr w:rsidR="00A21334" w14:paraId="28E3E868" w14:textId="77777777" w:rsidTr="00A21334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5481A46C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0C8DB6B4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3A6C759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549.200,00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203A5E67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478.662,00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7A444A5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509.007,00</w:t>
            </w:r>
          </w:p>
        </w:tc>
      </w:tr>
      <w:tr w:rsidR="00A21334" w14:paraId="6E18EBA2" w14:textId="77777777" w:rsidTr="00A21334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E2F3" w:themeFill="accent1" w:themeFillTint="33"/>
          </w:tcPr>
          <w:p w14:paraId="4A57B5AC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4400" w:type="dxa"/>
            <w:shd w:val="clear" w:color="auto" w:fill="D9E2F3" w:themeFill="accent1" w:themeFillTint="33"/>
          </w:tcPr>
          <w:p w14:paraId="21E163CC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Rashodi za nabavu plemenitih metala i ostalih pohranjenih vrijednosti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BE5A8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1.328,00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7A4E46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1.328,00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1BDC50EA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1.328,00</w:t>
            </w:r>
          </w:p>
        </w:tc>
      </w:tr>
      <w:tr w:rsidR="00A21334" w14:paraId="63FD4F73" w14:textId="77777777" w:rsidTr="00A21334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14A2C2" w14:textId="77777777" w:rsidR="00A2133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4400" w:type="dxa"/>
          </w:tcPr>
          <w:p w14:paraId="2BB4BE86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1559" w:type="dxa"/>
          </w:tcPr>
          <w:p w14:paraId="4FFDF08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599.200,00</w:t>
            </w:r>
          </w:p>
        </w:tc>
        <w:tc>
          <w:tcPr>
            <w:tcW w:w="1496" w:type="dxa"/>
          </w:tcPr>
          <w:p w14:paraId="5C020AD7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1.479.965,00</w:t>
            </w:r>
          </w:p>
        </w:tc>
        <w:tc>
          <w:tcPr>
            <w:tcW w:w="1496" w:type="dxa"/>
          </w:tcPr>
          <w:p w14:paraId="5566CE1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14:ligatures w14:val="none"/>
              </w:rPr>
              <w:t>826.070,00</w:t>
            </w:r>
          </w:p>
        </w:tc>
      </w:tr>
      <w:tr w:rsidR="00A21334" w14:paraId="151330C9" w14:textId="77777777" w:rsidTr="00A21334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shd w:val="clear" w:color="auto" w:fill="D9E2F3" w:themeFill="accent1" w:themeFillTint="33"/>
          </w:tcPr>
          <w:p w14:paraId="07DDDBBA" w14:textId="77777777" w:rsidR="00A21334" w:rsidRDefault="0000000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5432617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4.502.972,89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5C19310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5.147.420,00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4D7B7A64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14:ligatures w14:val="none"/>
              </w:rPr>
              <w:t>4.584.925,00</w:t>
            </w:r>
          </w:p>
        </w:tc>
      </w:tr>
    </w:tbl>
    <w:p w14:paraId="1C435C6C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F3D670F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1A7A3C2" w14:textId="77777777" w:rsidR="00A213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14:ligatures w14:val="none"/>
        </w:rPr>
        <w:t>RASHODI POSLOVANJA</w:t>
      </w:r>
    </w:p>
    <w:p w14:paraId="2742263D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FC1C70E" w14:textId="77777777" w:rsidR="00A21334" w:rsidRDefault="000000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Udio pojedinih rashoda u strukturi ukupnih rashoda poslovanja planiranih za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godinu </w:t>
      </w:r>
    </w:p>
    <w:p w14:paraId="37FE3635" w14:textId="77777777" w:rsidR="00A213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iznosi:</w:t>
      </w:r>
    </w:p>
    <w:p w14:paraId="2E726C17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zaposlene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17,05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76A98A37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materijalni rashodi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42,39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61285458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financijski rashodi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1,07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% </w:t>
      </w:r>
    </w:p>
    <w:p w14:paraId="63389141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subvencije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3,36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%</w:t>
      </w:r>
    </w:p>
    <w:p w14:paraId="0C2949ED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pomoći dane u inozemstvo i unutar općeg proračuna 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17,45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2705BE60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naknade građanima i kućanstvima na temelju osiguranja i druge naknade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6,13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 </w:t>
      </w:r>
    </w:p>
    <w:p w14:paraId="226521F9" w14:textId="77777777" w:rsidR="00A21334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2D677F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r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ashodi za donacije, kazne, naknade šteta i kapitalne pomoći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12,55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%</w:t>
      </w:r>
    </w:p>
    <w:p w14:paraId="1CD510AC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34ED4757" w14:textId="77777777" w:rsidR="00A21334" w:rsidRDefault="0000000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Rashodi za zaposlene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planiraju se u iznosu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5</w:t>
      </w:r>
      <w:r w:rsidRPr="002D677F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64.000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eur,  a</w:t>
      </w:r>
      <w:r>
        <w:rPr>
          <w:rFonts w:ascii="Times New Roman" w:hAnsi="Times New Roman" w:cs="Times New Roman"/>
          <w:kern w:val="0"/>
          <w:sz w:val="24"/>
          <w14:ligatures w14:val="none"/>
        </w:rPr>
        <w:t xml:space="preserve"> obuhvaćaju rashode za plaće, ostale rashode za zaposlene i doprinose na plaću za dužnosnika i službenike gradske uprave te proračunskih korisnika.</w:t>
      </w:r>
    </w:p>
    <w:p w14:paraId="0DD69892" w14:textId="77777777" w:rsidR="00A21334" w:rsidRDefault="00A213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A7C2D8" w14:textId="77777777" w:rsidR="00A21334" w:rsidRDefault="0000000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projekcijama za slijedeće dvije godine rashodi za zaposlene planiraju se u iznosu -  za 2026. godinu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564.000,00 eur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odnosno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553.300,00 eur za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2027. godinu.</w:t>
      </w:r>
    </w:p>
    <w:p w14:paraId="4AEAE64F" w14:textId="77777777" w:rsidR="00A21334" w:rsidRDefault="00A213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9238B2" w14:textId="77777777" w:rsidR="00A21334" w:rsidRDefault="00000000">
      <w:pPr>
        <w:spacing w:after="0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:highlight w:val="yellow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Materijalni rashodi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 2025. godini planiraju se u iznosu od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>1.401.639,41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Čine ih rashodi koji se odnose na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izvršavanje programskih aktivnosti i redovno poslovanje gradske uprave te korisnika proračuna.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strukturi materijalnih rashoda najveći udio čine rashodi za usluge, zatim slijede rashodi za materijal i energiju ostali nespomenuti rashodi poslovanja, zatim naknade troškova zaposlenima.</w:t>
      </w:r>
    </w:p>
    <w:p w14:paraId="7495CFE4" w14:textId="77777777" w:rsidR="00A21334" w:rsidRDefault="00A213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25545C1" w14:textId="77777777" w:rsidR="00A21334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i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materijalni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projicirani su na razini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1.344.946,00</w:t>
      </w:r>
      <w:r w:rsidRPr="002D677F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eur,  odnosno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1.416.701,00</w:t>
      </w:r>
      <w:r w:rsidRPr="002D677F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eur. </w:t>
      </w:r>
    </w:p>
    <w:p w14:paraId="0C61D48F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0242474" w14:textId="77777777" w:rsidR="00A21334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Financijski rashodi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, koji uključuju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kamate za primljene kredite i zajmove te ostale financijske rashode (rashodi za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ankarske usluge i usluge platnog prometa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202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godini planirani su s iznosom od </w:t>
      </w:r>
      <w:r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35.462,82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259739F4" w14:textId="77777777" w:rsidR="00A21334" w:rsidRDefault="00A21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9707E1" w14:textId="77777777" w:rsidR="00A21334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Za naredne dvije godine financijski rashodi su projicirani na razini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28.925,00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7E160C17" w14:textId="77777777" w:rsidR="00A21334" w:rsidRDefault="00A21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EDAC7E4" w14:textId="77777777" w:rsidR="00A21334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Rashodi za subvencije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nl-NL"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godini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planirani su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u iznosu od </w:t>
      </w:r>
      <w:r w:rsidRPr="002D677F">
        <w:rPr>
          <w:rFonts w:ascii="Times New Roman" w:eastAsia="Times New Roman" w:hAnsi="Times New Roman"/>
          <w:bCs/>
          <w:kern w:val="0"/>
          <w:sz w:val="24"/>
          <w:szCs w:val="24"/>
          <w:lang w:val="nl-NL" w:eastAsia="hr-HR"/>
          <w14:ligatures w14:val="none"/>
        </w:rPr>
        <w:t>111.000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Obuhvaćaju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su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bvencije trgovačkim društvima i zadrugama izvan javnog sektora i poljoprivrednicima i obrtnicima.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Projekcije ove skupine rashoda u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i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iznose po </w:t>
      </w:r>
      <w:r w:rsidRPr="002D677F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110.30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 xml:space="preserve">0,00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1A334149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B5C3DA0" w14:textId="77777777" w:rsidR="00A21334" w:rsidRPr="002D677F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Rashodi za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pomoći dane u inozemstvo i unutar općeg proračuna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predviđeni su u iznosu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621.764,00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Planirani rashodi obuhvaćaju 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tekuće i kapitalne pomoći unutar općeg proračuna i tekuće i kapitalne pomoći proračunskim korisnicima drugih proračuna.</w:t>
      </w:r>
    </w:p>
    <w:p w14:paraId="5CB4EE20" w14:textId="77777777" w:rsidR="00A21334" w:rsidRPr="002D677F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i 2027.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godini ukupni rashodi za pomoći projicirani su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također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na razini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621.764,00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</w:p>
    <w:p w14:paraId="24203B03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3849F76" w14:textId="77777777" w:rsidR="00A21334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Rashodi za naknade građanima i kućanstvima na temelju osiguranja i druge naknade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576.905,00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Obuhvaćaju naknade </w:t>
      </w:r>
      <w:r w:rsidRPr="002D677F">
        <w:rPr>
          <w:rFonts w:ascii="Times New Roman" w:eastAsia="Times New Roman" w:hAnsi="Times New Roman" w:cs="Times New Roman"/>
          <w:kern w:val="0"/>
          <w:sz w:val="24"/>
          <w:szCs w:val="24"/>
          <w:lang w:val="nl-NL" w:eastAsia="hr-HR"/>
          <w14:ligatures w14:val="none"/>
        </w:rPr>
        <w:t>građanima i kućanstvima u novcu i u naravi.</w:t>
      </w:r>
    </w:p>
    <w:p w14:paraId="11E61C48" w14:textId="77777777" w:rsidR="00A21334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 projekcijama za naredne dvije godine ova skupina rashoda planirana je na razini od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579.149,00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eur za svaku godinu.  </w:t>
      </w:r>
    </w:p>
    <w:p w14:paraId="43D7A24A" w14:textId="77777777" w:rsidR="00A21334" w:rsidRDefault="00A21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4279CA33" w14:textId="77777777" w:rsidR="00A21334" w:rsidRDefault="00000000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Skupina </w:t>
      </w:r>
      <w:r w:rsidRPr="002D67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ashod</w:t>
      </w:r>
      <w:r w:rsidRPr="002D677F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a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za donacije, kazne, naknade šteta i kapitalne pomoći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koja obuhvaća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tekuće donacije u novcu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kapitalne donacije neprofitnim organizacijama i 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>
        <w:rPr>
          <w:rFonts w:ascii="Times New Roman" w:hAnsi="Times New Roman"/>
          <w:kern w:val="0"/>
          <w:sz w:val="24"/>
          <w:szCs w:val="24"/>
          <w:lang w:val="pl-PL"/>
          <w14:ligatures w14:val="none"/>
        </w:rPr>
        <w:t>apitalne pomoći kreditnim i ostalim financijskim institucijama te trgovačkim društvima u javnom sektoru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>u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. godini planirana je u iznosu od </w:t>
      </w:r>
      <w:r>
        <w:rPr>
          <w:rFonts w:ascii="Times New Roman" w:hAnsi="Times New Roman"/>
          <w:kern w:val="0"/>
          <w:sz w:val="24"/>
          <w:szCs w:val="24"/>
          <w:lang w:val="pl-PL"/>
          <w14:ligatures w14:val="none"/>
        </w:rPr>
        <w:t>414.913,66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eur. U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 2027. 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godini ovi rashodi projicirani su na razini od </w:t>
      </w:r>
      <w:r>
        <w:rPr>
          <w:rFonts w:ascii="Times New Roman" w:hAnsi="Times New Roman"/>
          <w:kern w:val="0"/>
          <w:sz w:val="24"/>
          <w:szCs w:val="24"/>
          <w:lang w:val="pl-PL"/>
          <w14:ligatures w14:val="none"/>
        </w:rPr>
        <w:t>335.689,00</w:t>
      </w:r>
      <w:r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 xml:space="preserve"> eur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4ECDC8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B3967E5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45387CB" w14:textId="77777777" w:rsidR="00A213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Grafikon 2. Struktura planiranih rashoda poslovanja u ukupno planiranim rashodima poslovanja Proračuna 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Općine Punat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za 202</w:t>
      </w:r>
      <w:r w:rsidRPr="002D67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. godinu</w:t>
      </w:r>
    </w:p>
    <w:p w14:paraId="438D5B26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0EEA9EE" w14:textId="77777777" w:rsidR="00A2133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hr-HR"/>
          <w14:ligatures w14:val="none"/>
        </w:rPr>
        <w:lastRenderedPageBreak/>
        <w:drawing>
          <wp:inline distT="0" distB="0" distL="114300" distR="114300" wp14:anchorId="2A24634F" wp14:editId="51029BA0">
            <wp:extent cx="5754370" cy="3335655"/>
            <wp:effectExtent l="0" t="0" r="6350" b="1905"/>
            <wp:docPr id="2" name="Picture 2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tur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E33A" w14:textId="77777777" w:rsidR="00A21334" w:rsidRDefault="00A2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38F2B1E" w14:textId="77777777" w:rsidR="00A21334" w:rsidRDefault="00A2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6761243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AA7718C" w14:textId="77777777" w:rsidR="00A21334" w:rsidRDefault="00A2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4BC0690" w14:textId="77777777" w:rsidR="00A21334" w:rsidRDefault="00A2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C54A213" w14:textId="77777777" w:rsidR="00A21334" w:rsidRDefault="00A21334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45DA6B9F" w14:textId="77777777" w:rsidR="00A21334" w:rsidRDefault="00000000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RASHODI ZA NABAVU NEFINANCIJSKE IMOVINE</w:t>
      </w:r>
    </w:p>
    <w:p w14:paraId="675F9FDB" w14:textId="77777777" w:rsidR="00A21334" w:rsidRDefault="00A21334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A848061" w14:textId="77777777" w:rsidR="00A21334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Ukupni rashodi za nabavu nefinancijske imovine u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planirani su u iznosu od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1.196.278,00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Udio pojedinih rashoda u strukturi rashoda za nabavu nefinancijske imovine iznosi:  </w:t>
      </w:r>
    </w:p>
    <w:p w14:paraId="283DF1B1" w14:textId="77777777" w:rsidR="00A21334" w:rsidRDefault="00000000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nabavu ne proizvedene dugotrajne imovine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3,89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6B6DCEB7" w14:textId="77777777" w:rsidR="00A21334" w:rsidRDefault="00000000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nabavu proizvedene dugotrajne imovine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hr-HR"/>
          <w14:ligatures w14:val="none"/>
        </w:rPr>
        <w:t>45,91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%</w:t>
      </w:r>
    </w:p>
    <w:p w14:paraId="6EA04441" w14:textId="77777777" w:rsidR="00A21334" w:rsidRDefault="00000000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2D677F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r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ashodi za nabavu plemenitih metala i ostalih pohranjenih vrijednosti</w:t>
      </w:r>
      <w:r w:rsidRPr="002D677F"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 xml:space="preserve"> 0,11 %</w:t>
      </w:r>
    </w:p>
    <w:p w14:paraId="15676288" w14:textId="77777777" w:rsidR="00A21334" w:rsidRDefault="00000000">
      <w:pPr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rashodi za dodatna ulaganja na nefinancijskoj imovini 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50,09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%.</w:t>
      </w:r>
    </w:p>
    <w:p w14:paraId="3A3BCB0E" w14:textId="77777777" w:rsidR="00A213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</w:p>
    <w:p w14:paraId="22E9B526" w14:textId="77777777" w:rsidR="00A21334" w:rsidRDefault="00000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U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 i 202</w:t>
      </w:r>
      <w:r w:rsidRPr="002D67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. godini rashodi ove skupine projicirani su u iznosima od po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1.974.155,00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 i  </w:t>
      </w:r>
      <w:r>
        <w:rPr>
          <w:rFonts w:ascii="Times New Roman" w:eastAsia="Times New Roman" w:hAnsi="Times New Roman"/>
          <w:bCs/>
          <w:kern w:val="0"/>
          <w:sz w:val="24"/>
          <w:szCs w:val="24"/>
          <w:lang w:eastAsia="hr-HR"/>
          <w14:ligatures w14:val="none"/>
        </w:rPr>
        <w:t>1.350.605,00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eur. </w:t>
      </w:r>
    </w:p>
    <w:p w14:paraId="7AD73D35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</w:p>
    <w:p w14:paraId="2E540241" w14:textId="77777777" w:rsidR="00A21334" w:rsidRDefault="00000000">
      <w:pPr>
        <w:spacing w:after="0"/>
        <w:ind w:firstLine="284"/>
        <w:jc w:val="both"/>
        <w:rPr>
          <w:rFonts w:ascii="Times New Roman" w:hAnsi="Times New Roman" w:cs="Times New Roman"/>
          <w:kern w:val="0"/>
          <w:sz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14:ligatures w14:val="none"/>
        </w:rPr>
        <w:t>Rashodi su raspoređeni u posebnom dijelu proračuna po nositeljima i korisnicima prema programskoj, ekonomskoj i funkcijskoj klasifikaciji.</w:t>
      </w:r>
    </w:p>
    <w:p w14:paraId="67E755F2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0D9190E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3A2F665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DD33F07" w14:textId="77777777" w:rsidR="00A21334" w:rsidRDefault="00A2133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5C25F48A" w14:textId="77777777" w:rsidR="00A21334" w:rsidRDefault="00A2133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37233BDC" w14:textId="77777777" w:rsidR="00A21334" w:rsidRDefault="00A2133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5DBC25B6" w14:textId="77777777" w:rsidR="00A21334" w:rsidRDefault="00A2133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15FF9934" w14:textId="77777777" w:rsidR="00A21334" w:rsidRDefault="00A2133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09A50A74" w14:textId="77777777" w:rsidR="00A21334" w:rsidRDefault="00A2133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1B8EBE36" w14:textId="77777777" w:rsidR="00A21334" w:rsidRDefault="0000000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kern w:val="0"/>
          <w:sz w:val="24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4"/>
          <w14:ligatures w14:val="none"/>
        </w:rPr>
        <w:lastRenderedPageBreak/>
        <w:t>Tablica 5.  Ukupni planirani rashodi Proračuna Općine Punat u 2025. i projekcije za 2026. i 2027. godinu po organizacijskoj klasifikaciji</w:t>
      </w:r>
    </w:p>
    <w:p w14:paraId="4E23EEB0" w14:textId="77777777" w:rsidR="00A21334" w:rsidRDefault="0000000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133"/>
        <w:contextualSpacing/>
        <w:jc w:val="both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</w:t>
      </w:r>
    </w:p>
    <w:p w14:paraId="5388C44E" w14:textId="77777777" w:rsidR="00A21334" w:rsidRDefault="0000000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133"/>
        <w:contextualSpacing/>
        <w:jc w:val="right"/>
        <w:textAlignment w:val="baseline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-u eurima -</w:t>
      </w:r>
    </w:p>
    <w:tbl>
      <w:tblPr>
        <w:tblStyle w:val="Tablicapopisa4-isticanje11"/>
        <w:tblpPr w:leftFromText="180" w:rightFromText="180" w:vertAnchor="text" w:horzAnchor="margin" w:tblpXSpec="center" w:tblpY="244"/>
        <w:tblW w:w="9823" w:type="dxa"/>
        <w:tblLook w:val="04A0" w:firstRow="1" w:lastRow="0" w:firstColumn="1" w:lastColumn="0" w:noHBand="0" w:noVBand="1"/>
      </w:tblPr>
      <w:tblGrid>
        <w:gridCol w:w="1135"/>
        <w:gridCol w:w="851"/>
        <w:gridCol w:w="3691"/>
        <w:gridCol w:w="1418"/>
        <w:gridCol w:w="1419"/>
        <w:gridCol w:w="1309"/>
      </w:tblGrid>
      <w:tr w:rsidR="00A21334" w14:paraId="11B270AE" w14:textId="77777777" w:rsidTr="00A21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gridSpan w:val="3"/>
            <w:noWrap/>
            <w:vAlign w:val="center"/>
          </w:tcPr>
          <w:p w14:paraId="40DFD388" w14:textId="77777777" w:rsidR="00A2133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Razdjel, glava, korisnik </w:t>
            </w:r>
          </w:p>
        </w:tc>
        <w:tc>
          <w:tcPr>
            <w:tcW w:w="1418" w:type="dxa"/>
            <w:noWrap/>
            <w:vAlign w:val="center"/>
          </w:tcPr>
          <w:p w14:paraId="65C2D129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Plan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419" w:type="dxa"/>
            <w:noWrap/>
            <w:vAlign w:val="center"/>
          </w:tcPr>
          <w:p w14:paraId="7DDEFA0B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309" w:type="dxa"/>
            <w:noWrap/>
            <w:vAlign w:val="center"/>
          </w:tcPr>
          <w:p w14:paraId="6E2B6444" w14:textId="77777777" w:rsidR="00A2133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Projekcija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hr-HR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A21334" w14:paraId="51250B5A" w14:textId="77777777" w:rsidTr="00A2133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D9E2F3" w:themeFill="accent1" w:themeFillTint="33"/>
            <w:noWrap/>
          </w:tcPr>
          <w:p w14:paraId="05996CF3" w14:textId="77777777" w:rsidR="00A2133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  <w:t>RAZDJEL</w:t>
            </w:r>
          </w:p>
        </w:tc>
        <w:tc>
          <w:tcPr>
            <w:tcW w:w="851" w:type="dxa"/>
            <w:shd w:val="clear" w:color="auto" w:fill="D9E2F3" w:themeFill="accent1" w:themeFillTint="33"/>
            <w:noWrap/>
          </w:tcPr>
          <w:p w14:paraId="69F5606B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001</w:t>
            </w:r>
          </w:p>
        </w:tc>
        <w:tc>
          <w:tcPr>
            <w:tcW w:w="3691" w:type="dxa"/>
            <w:shd w:val="clear" w:color="auto" w:fill="D9E2F3" w:themeFill="accent1" w:themeFillTint="33"/>
          </w:tcPr>
          <w:p w14:paraId="0580E747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OPĆINSKO VIJEĆE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</w:tcPr>
          <w:p w14:paraId="3D3552AE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56.337,41</w:t>
            </w:r>
          </w:p>
        </w:tc>
        <w:tc>
          <w:tcPr>
            <w:tcW w:w="1419" w:type="dxa"/>
            <w:shd w:val="clear" w:color="auto" w:fill="D9E2F3" w:themeFill="accent1" w:themeFillTint="33"/>
            <w:noWrap/>
          </w:tcPr>
          <w:p w14:paraId="41B1A66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17.535,00</w:t>
            </w:r>
          </w:p>
        </w:tc>
        <w:tc>
          <w:tcPr>
            <w:tcW w:w="1309" w:type="dxa"/>
            <w:shd w:val="clear" w:color="auto" w:fill="D9E2F3" w:themeFill="accent1" w:themeFillTint="33"/>
            <w:noWrap/>
          </w:tcPr>
          <w:p w14:paraId="574A1C1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17.535,00</w:t>
            </w:r>
          </w:p>
        </w:tc>
      </w:tr>
      <w:tr w:rsidR="00A21334" w14:paraId="3A481C7C" w14:textId="77777777" w:rsidTr="00A2133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</w:tcPr>
          <w:p w14:paraId="153169D8" w14:textId="77777777" w:rsidR="00A2133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GLAVA</w:t>
            </w:r>
          </w:p>
        </w:tc>
        <w:tc>
          <w:tcPr>
            <w:tcW w:w="851" w:type="dxa"/>
            <w:noWrap/>
          </w:tcPr>
          <w:p w14:paraId="23B63765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00101</w:t>
            </w:r>
          </w:p>
        </w:tc>
        <w:tc>
          <w:tcPr>
            <w:tcW w:w="3691" w:type="dxa"/>
            <w:noWrap/>
          </w:tcPr>
          <w:p w14:paraId="2077F2D0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OPĆINSKO VIJEĆE</w:t>
            </w:r>
          </w:p>
        </w:tc>
        <w:tc>
          <w:tcPr>
            <w:tcW w:w="1418" w:type="dxa"/>
            <w:noWrap/>
          </w:tcPr>
          <w:p w14:paraId="34AAD63A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56.337,41</w:t>
            </w:r>
          </w:p>
        </w:tc>
        <w:tc>
          <w:tcPr>
            <w:tcW w:w="1419" w:type="dxa"/>
            <w:noWrap/>
          </w:tcPr>
          <w:p w14:paraId="18E93F8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17.535,00</w:t>
            </w:r>
          </w:p>
        </w:tc>
        <w:tc>
          <w:tcPr>
            <w:tcW w:w="1309" w:type="dxa"/>
            <w:noWrap/>
          </w:tcPr>
          <w:p w14:paraId="4737947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17.535,00</w:t>
            </w:r>
          </w:p>
        </w:tc>
      </w:tr>
      <w:tr w:rsidR="00A21334" w14:paraId="4CD288C4" w14:textId="77777777" w:rsidTr="00A21334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</w:tcPr>
          <w:p w14:paraId="7B7986CD" w14:textId="77777777" w:rsidR="00A2133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  <w:t>RAZDJEL</w:t>
            </w:r>
          </w:p>
        </w:tc>
        <w:tc>
          <w:tcPr>
            <w:tcW w:w="851" w:type="dxa"/>
            <w:noWrap/>
          </w:tcPr>
          <w:p w14:paraId="00356ACD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002</w:t>
            </w:r>
          </w:p>
        </w:tc>
        <w:tc>
          <w:tcPr>
            <w:tcW w:w="3691" w:type="dxa"/>
            <w:noWrap/>
          </w:tcPr>
          <w:p w14:paraId="1C4EE58F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NAČELNIK</w:t>
            </w:r>
          </w:p>
        </w:tc>
        <w:tc>
          <w:tcPr>
            <w:tcW w:w="1418" w:type="dxa"/>
            <w:noWrap/>
          </w:tcPr>
          <w:p w14:paraId="19C96370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21.399,00</w:t>
            </w:r>
          </w:p>
        </w:tc>
        <w:tc>
          <w:tcPr>
            <w:tcW w:w="1419" w:type="dxa"/>
            <w:noWrap/>
          </w:tcPr>
          <w:p w14:paraId="5DF8824C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19.124,00</w:t>
            </w:r>
          </w:p>
        </w:tc>
        <w:tc>
          <w:tcPr>
            <w:tcW w:w="1309" w:type="dxa"/>
            <w:noWrap/>
          </w:tcPr>
          <w:p w14:paraId="21AB89CF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19.124,00</w:t>
            </w:r>
          </w:p>
        </w:tc>
      </w:tr>
      <w:tr w:rsidR="00A21334" w14:paraId="0C8CD838" w14:textId="77777777" w:rsidTr="00A2133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D9E2F3" w:themeFill="accent1" w:themeFillTint="33"/>
            <w:noWrap/>
          </w:tcPr>
          <w:p w14:paraId="43D59461" w14:textId="77777777" w:rsidR="00A213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GLAVA</w:t>
            </w:r>
          </w:p>
        </w:tc>
        <w:tc>
          <w:tcPr>
            <w:tcW w:w="851" w:type="dxa"/>
            <w:shd w:val="clear" w:color="auto" w:fill="D9E2F3" w:themeFill="accent1" w:themeFillTint="33"/>
            <w:noWrap/>
          </w:tcPr>
          <w:p w14:paraId="73AA2A85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00201</w:t>
            </w:r>
          </w:p>
        </w:tc>
        <w:tc>
          <w:tcPr>
            <w:tcW w:w="3691" w:type="dxa"/>
            <w:shd w:val="clear" w:color="auto" w:fill="D9E2F3" w:themeFill="accent1" w:themeFillTint="33"/>
            <w:noWrap/>
          </w:tcPr>
          <w:p w14:paraId="622E35FD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NAČELNIK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</w:tcPr>
          <w:p w14:paraId="21DA068D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21.399,00</w:t>
            </w:r>
          </w:p>
        </w:tc>
        <w:tc>
          <w:tcPr>
            <w:tcW w:w="1419" w:type="dxa"/>
            <w:shd w:val="clear" w:color="auto" w:fill="D9E2F3" w:themeFill="accent1" w:themeFillTint="33"/>
            <w:noWrap/>
          </w:tcPr>
          <w:p w14:paraId="443A0851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19.124,00</w:t>
            </w:r>
          </w:p>
        </w:tc>
        <w:tc>
          <w:tcPr>
            <w:tcW w:w="1309" w:type="dxa"/>
            <w:shd w:val="clear" w:color="auto" w:fill="D9E2F3" w:themeFill="accent1" w:themeFillTint="33"/>
            <w:noWrap/>
          </w:tcPr>
          <w:p w14:paraId="015DF501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val="en-US" w:eastAsia="hr-HR"/>
                <w14:ligatures w14:val="none"/>
              </w:rPr>
              <w:t>19.124,00</w:t>
            </w:r>
          </w:p>
        </w:tc>
      </w:tr>
      <w:tr w:rsidR="00A21334" w14:paraId="59B2F3DF" w14:textId="77777777" w:rsidTr="00A21334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noWrap/>
          </w:tcPr>
          <w:p w14:paraId="124FA04F" w14:textId="77777777" w:rsidR="00A2133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hr-HR"/>
                <w14:ligatures w14:val="none"/>
              </w:rPr>
              <w:t>RAZDJEL</w:t>
            </w:r>
          </w:p>
        </w:tc>
        <w:tc>
          <w:tcPr>
            <w:tcW w:w="851" w:type="dxa"/>
            <w:noWrap/>
          </w:tcPr>
          <w:p w14:paraId="13C5AC04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003</w:t>
            </w:r>
          </w:p>
        </w:tc>
        <w:tc>
          <w:tcPr>
            <w:tcW w:w="3691" w:type="dxa"/>
            <w:noWrap/>
          </w:tcPr>
          <w:p w14:paraId="2164BEDA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JEDINSTVENI UPRAVNI ODJEL</w:t>
            </w:r>
          </w:p>
        </w:tc>
        <w:tc>
          <w:tcPr>
            <w:tcW w:w="1418" w:type="dxa"/>
            <w:noWrap/>
          </w:tcPr>
          <w:p w14:paraId="30FA8587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4.823.005,48</w:t>
            </w:r>
          </w:p>
        </w:tc>
        <w:tc>
          <w:tcPr>
            <w:tcW w:w="1419" w:type="dxa"/>
            <w:noWrap/>
          </w:tcPr>
          <w:p w14:paraId="15E16373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5.454.840,00</w:t>
            </w:r>
          </w:p>
        </w:tc>
        <w:tc>
          <w:tcPr>
            <w:tcW w:w="1309" w:type="dxa"/>
            <w:noWrap/>
          </w:tcPr>
          <w:p w14:paraId="02B0F4F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eastAsia="hr-HR"/>
                <w14:ligatures w14:val="none"/>
              </w:rPr>
              <w:t>4.892.345,00</w:t>
            </w:r>
          </w:p>
        </w:tc>
      </w:tr>
      <w:tr w:rsidR="00A21334" w14:paraId="2EE8E967" w14:textId="77777777" w:rsidTr="00A2133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shd w:val="clear" w:color="auto" w:fill="D9E2F3" w:themeFill="accent1" w:themeFillTint="33"/>
            <w:noWrap/>
          </w:tcPr>
          <w:p w14:paraId="41429A6D" w14:textId="77777777" w:rsidR="00A2133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GLAVA</w:t>
            </w:r>
          </w:p>
        </w:tc>
        <w:tc>
          <w:tcPr>
            <w:tcW w:w="851" w:type="dxa"/>
            <w:shd w:val="clear" w:color="auto" w:fill="D9E2F3" w:themeFill="accent1" w:themeFillTint="33"/>
            <w:noWrap/>
          </w:tcPr>
          <w:p w14:paraId="332B29AE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00301</w:t>
            </w:r>
          </w:p>
        </w:tc>
        <w:tc>
          <w:tcPr>
            <w:tcW w:w="3691" w:type="dxa"/>
            <w:shd w:val="clear" w:color="auto" w:fill="D9E2F3" w:themeFill="accent1" w:themeFillTint="33"/>
          </w:tcPr>
          <w:p w14:paraId="19EAC923" w14:textId="77777777" w:rsidR="00A2133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JUO</w:t>
            </w:r>
          </w:p>
        </w:tc>
        <w:tc>
          <w:tcPr>
            <w:tcW w:w="1418" w:type="dxa"/>
            <w:shd w:val="clear" w:color="auto" w:fill="D9E2F3" w:themeFill="accent1" w:themeFillTint="33"/>
            <w:noWrap/>
          </w:tcPr>
          <w:p w14:paraId="5F32FDC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4.823.005,48</w:t>
            </w:r>
          </w:p>
        </w:tc>
        <w:tc>
          <w:tcPr>
            <w:tcW w:w="1419" w:type="dxa"/>
            <w:shd w:val="clear" w:color="auto" w:fill="D9E2F3" w:themeFill="accent1" w:themeFillTint="33"/>
            <w:noWrap/>
          </w:tcPr>
          <w:p w14:paraId="423ED918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5.454.840,00</w:t>
            </w:r>
          </w:p>
        </w:tc>
        <w:tc>
          <w:tcPr>
            <w:tcW w:w="1309" w:type="dxa"/>
            <w:shd w:val="clear" w:color="auto" w:fill="D9E2F3" w:themeFill="accent1" w:themeFillTint="33"/>
            <w:noWrap/>
          </w:tcPr>
          <w:p w14:paraId="001B35B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val="en-US" w:eastAsia="hr-HR"/>
                <w14:ligatures w14:val="none"/>
              </w:rPr>
              <w:t>4.892.345,00</w:t>
            </w:r>
          </w:p>
        </w:tc>
      </w:tr>
      <w:tr w:rsidR="00A21334" w14:paraId="05DDB762" w14:textId="77777777" w:rsidTr="00A21334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7" w:type="dxa"/>
            <w:gridSpan w:val="3"/>
            <w:noWrap/>
          </w:tcPr>
          <w:p w14:paraId="384EDD2D" w14:textId="77777777" w:rsidR="00A2133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UKUPNO</w:t>
            </w:r>
          </w:p>
        </w:tc>
        <w:tc>
          <w:tcPr>
            <w:tcW w:w="1418" w:type="dxa"/>
            <w:noWrap/>
          </w:tcPr>
          <w:p w14:paraId="4487D785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19"/>
                <w:szCs w:val="19"/>
                <w:lang w:val="en-US" w:eastAsia="hr-HR"/>
                <w14:ligatures w14:val="none"/>
              </w:rPr>
              <w:t>4.900.741,89</w:t>
            </w:r>
          </w:p>
        </w:tc>
        <w:tc>
          <w:tcPr>
            <w:tcW w:w="1419" w:type="dxa"/>
            <w:noWrap/>
          </w:tcPr>
          <w:p w14:paraId="2A63F0CB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5.491.499,00</w:t>
            </w:r>
          </w:p>
        </w:tc>
        <w:tc>
          <w:tcPr>
            <w:tcW w:w="1309" w:type="dxa"/>
            <w:noWrap/>
          </w:tcPr>
          <w:p w14:paraId="57196FAA" w14:textId="77777777" w:rsidR="00A21334" w:rsidRDefault="0000000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19"/>
                <w:szCs w:val="19"/>
                <w:lang w:val="en-US" w:eastAsia="hr-HR"/>
                <w14:ligatures w14:val="none"/>
              </w:rPr>
              <w:t>4.929.004,00</w:t>
            </w:r>
          </w:p>
        </w:tc>
      </w:tr>
    </w:tbl>
    <w:p w14:paraId="25D0F049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B9EF783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8A3201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AD5343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6017C5" w14:textId="77777777" w:rsidR="00A213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Grafikon 3. Udio rashoda planiranih po pojedinim razdjelima u ukupnim rashodima u 202</w:t>
      </w:r>
      <w:r w:rsidRPr="002D677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 godini</w:t>
      </w:r>
    </w:p>
    <w:p w14:paraId="017C9FA9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5C7A0" w14:textId="77777777" w:rsidR="00A2133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114300" distR="114300" wp14:anchorId="6C191F5D" wp14:editId="1AD5359D">
            <wp:extent cx="5394960" cy="3121025"/>
            <wp:effectExtent l="0" t="0" r="0" b="3175"/>
            <wp:docPr id="3" name="Picture 3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icture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13EF" w14:textId="77777777" w:rsidR="00A21334" w:rsidRDefault="00A2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B1AFEF" w14:textId="77777777" w:rsidR="00A21334" w:rsidRDefault="00A21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B7442F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BF892D" w14:textId="77777777" w:rsidR="00A21334" w:rsidRDefault="00A2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FE75D6" w14:textId="77777777" w:rsidR="00A21334" w:rsidRDefault="00000000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RAČUN FINANCIRANJA - PRIMICI OD FINANCIJSKE IMOVINE I ZADUŽIVANJA</w:t>
      </w:r>
    </w:p>
    <w:p w14:paraId="3DFB8190" w14:textId="77777777" w:rsidR="00A21334" w:rsidRDefault="00A213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4A63DA9" w14:textId="77777777" w:rsidR="00A21334" w:rsidRDefault="0000000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Zaduživanje jedinica lokalne i područne (regionalne) samouprave kao i davanje jamstava i suglasnosti pravnim osobama u većinskom vlasništvu ili suvlasništvu jedinice lokalne i područne (regionalne) samouprave i ustanovama čiji je osnivač regulirano je Zakonom o proračunu.</w:t>
      </w:r>
    </w:p>
    <w:p w14:paraId="2898801F" w14:textId="77777777" w:rsidR="00A21334" w:rsidRDefault="000000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Jedinica lokalne samouprave može se dugoročno zadužiti samo za investiciju koja se financira iz njezina proračuna, a koju potvrdi njezino predstavničko tijelo uz suglasnost Vlade, a na prijedlog ministra financija. </w:t>
      </w:r>
    </w:p>
    <w:p w14:paraId="7D77E552" w14:textId="77777777" w:rsidR="00A21334" w:rsidRDefault="000000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Visina zaduživanja ograničena je Zakonom na način da ukupna godišnja obveza za otplatu kredita i zajmova (godišnji anuitet) jedinice lokalne i područne (regionalne) samouprave može iznositi najviše 20% ostvarenih izvornih prihoda u godini koja prethodi godini u kojoj se zadužuje. Pod ostvarenim proračunskim prihodima podrazumijevaju se ostvareni prihodi umanjeni za prihode od domaćih i stranih pomoći i donacija, prihode iz posebnih ugovora (sufinanciranje građana za mjesnu samoupravu) te prihode ostvarene s osnove dodatnih udjela u porezu na dohodak i pomoći izravnanja za financiranje decentraliziranih funkcija. Međutim, to ograničenje ne odnosi se na projekte koji se sufinanciraju iz pretpristupnih programa i fondova EU i na projekte iz područja unapređenja energetske učinkovitosti. </w:t>
      </w:r>
    </w:p>
    <w:p w14:paraId="7BA5869A" w14:textId="77777777" w:rsidR="00A21334" w:rsidRDefault="00A213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29C00D" w14:textId="77777777" w:rsidR="00A21334" w:rsidRDefault="00A21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9812D" w14:textId="77777777" w:rsidR="00A21334" w:rsidRPr="002D677F" w:rsidRDefault="000000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Ukupnih izdaci za financijsku imovinu i otplate zajmova iznose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397.769,00</w:t>
      </w:r>
      <w:r w:rsidRPr="002D677F">
        <w:rPr>
          <w:rFonts w:ascii="Times New Roman" w:eastAsia="Times New Roman" w:hAnsi="Times New Roman"/>
          <w:sz w:val="24"/>
          <w:szCs w:val="24"/>
          <w:lang w:eastAsia="hr-HR"/>
        </w:rPr>
        <w:t xml:space="preserve"> eur;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D67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čega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od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259.369,00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odnosi se na otplatu glavnice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dugoročnog kredita za provođenje </w:t>
      </w:r>
      <w:r w:rsidRPr="002D67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tekućeg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projekta </w:t>
      </w:r>
      <w:r w:rsidRPr="002D67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T101801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Otplata kredita za rekonstukciju zgrade OŠ Krk p.š. Punat s dogradnjom školske sportske dvorane</w:t>
      </w:r>
      <w:r w:rsidRPr="002D677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  T101802: Otplata kredita - infrastruktura, dok se iznos od 138.400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,00</w:t>
      </w:r>
      <w:r w:rsidRPr="002D677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eur odnosi na otplatu kredita za financiranje kapitalnih projekata – ulaganje u poslovnu i komunalnu infrastrukturu (povećanje temeljnog kapitala - SIK-EKI; otkup poslovnog udjela u TD radio OK).</w:t>
      </w:r>
    </w:p>
    <w:p w14:paraId="2B9D55A5" w14:textId="77777777" w:rsidR="00A21334" w:rsidRDefault="00A21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DEB5A8E" w14:textId="77777777" w:rsidR="00A2133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U prijedlogu plana proračuna za 202</w:t>
      </w:r>
      <w:r w:rsidRPr="002D67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godinu </w:t>
      </w:r>
      <w:r w:rsidRPr="002D67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višak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prihoda i primitaka nad rashodima i izdacima iznosi </w:t>
      </w:r>
      <w:r w:rsidRPr="002D677F">
        <w:rPr>
          <w:rFonts w:ascii="Times New Roman" w:eastAsia="Times New Roman" w:hAnsi="Times New Roman"/>
          <w:bCs/>
          <w:sz w:val="24"/>
          <w:szCs w:val="24"/>
          <w:lang w:eastAsia="hr-HR"/>
        </w:rPr>
        <w:t>17.569,84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eur. </w:t>
      </w:r>
      <w:r w:rsidRPr="002D67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Tim sredstvima se planira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2D67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pokriti manjak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 prethodne  202</w:t>
      </w:r>
      <w:r w:rsidRPr="002D677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godine u iznosu od </w:t>
      </w:r>
      <w:r w:rsidRPr="002D677F">
        <w:rPr>
          <w:rFonts w:ascii="Times New Roman" w:eastAsia="Times New Roman" w:hAnsi="Times New Roman"/>
          <w:bCs/>
          <w:sz w:val="24"/>
          <w:szCs w:val="24"/>
          <w:lang w:eastAsia="hr-HR"/>
        </w:rPr>
        <w:t>17.569,84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eur.</w:t>
      </w:r>
    </w:p>
    <w:p w14:paraId="58FDDB97" w14:textId="77777777" w:rsidR="00A21334" w:rsidRDefault="00A213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DE202D" w14:textId="77777777" w:rsidR="00A21334" w:rsidRDefault="0000000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projekcijama za 202</w:t>
      </w:r>
      <w:r w:rsidRPr="002D677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 </w:t>
      </w:r>
      <w:r w:rsidRPr="002D677F">
        <w:rPr>
          <w:rFonts w:ascii="Times New Roman" w:eastAsia="Times New Roman" w:hAnsi="Times New Roman" w:cs="Times New Roman"/>
          <w:sz w:val="24"/>
          <w:szCs w:val="24"/>
          <w:lang w:eastAsia="hr-HR"/>
        </w:rPr>
        <w:t>2027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planirani su primici za financijsku imovinu od iznosu od 0,00 eur</w:t>
      </w:r>
      <w:r w:rsidRPr="002D677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 izdaci za financijsku imovinu i otplate zajmova iznose po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344.079,00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za svaku od navedenih godina. </w:t>
      </w:r>
    </w:p>
    <w:p w14:paraId="6D851C89" w14:textId="77777777" w:rsidR="00A21334" w:rsidRDefault="00A21334">
      <w:pPr>
        <w:rPr>
          <w:rFonts w:cstheme="minorHAnsi"/>
          <w:sz w:val="44"/>
          <w:szCs w:val="44"/>
        </w:rPr>
      </w:pPr>
    </w:p>
    <w:p w14:paraId="26A4AAD5" w14:textId="77777777" w:rsidR="00A21334" w:rsidRDefault="00A21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44"/>
          <w:szCs w:val="44"/>
        </w:rPr>
      </w:pPr>
    </w:p>
    <w:sectPr w:rsidR="00A21334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97FF" w14:textId="77777777" w:rsidR="00227B71" w:rsidRDefault="00227B71">
      <w:pPr>
        <w:spacing w:line="240" w:lineRule="auto"/>
      </w:pPr>
      <w:r>
        <w:separator/>
      </w:r>
    </w:p>
  </w:endnote>
  <w:endnote w:type="continuationSeparator" w:id="0">
    <w:p w14:paraId="125B59CA" w14:textId="77777777" w:rsidR="00227B71" w:rsidRDefault="00227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1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182743"/>
    </w:sdtPr>
    <w:sdtContent>
      <w:p w14:paraId="11D6F768" w14:textId="77777777" w:rsidR="00A21334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E1257" w14:textId="77777777" w:rsidR="00A21334" w:rsidRDefault="00A213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D4BB" w14:textId="77777777" w:rsidR="00227B71" w:rsidRDefault="00227B71">
      <w:pPr>
        <w:spacing w:after="0"/>
      </w:pPr>
      <w:r>
        <w:separator/>
      </w:r>
    </w:p>
  </w:footnote>
  <w:footnote w:type="continuationSeparator" w:id="0">
    <w:p w14:paraId="71F4C1FA" w14:textId="77777777" w:rsidR="00227B71" w:rsidRDefault="00227B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D25"/>
    <w:multiLevelType w:val="multilevel"/>
    <w:tmpl w:val="04B42D25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F42273"/>
    <w:multiLevelType w:val="multilevel"/>
    <w:tmpl w:val="0CF42273"/>
    <w:lvl w:ilvl="0">
      <w:numFmt w:val="bullet"/>
      <w:lvlText w:val="-"/>
      <w:lvlJc w:val="left"/>
      <w:pPr>
        <w:ind w:left="814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2" w15:restartNumberingAfterBreak="0">
    <w:nsid w:val="12CB2D5A"/>
    <w:multiLevelType w:val="multilevel"/>
    <w:tmpl w:val="12CB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857AF7"/>
    <w:multiLevelType w:val="multilevel"/>
    <w:tmpl w:val="59857AF7"/>
    <w:lvl w:ilvl="0">
      <w:numFmt w:val="bullet"/>
      <w:lvlText w:val="-"/>
      <w:lvlJc w:val="left"/>
      <w:pPr>
        <w:ind w:left="213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 w15:restartNumberingAfterBreak="0">
    <w:nsid w:val="63D247C3"/>
    <w:multiLevelType w:val="multilevel"/>
    <w:tmpl w:val="63D247C3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807492"/>
    <w:multiLevelType w:val="hybridMultilevel"/>
    <w:tmpl w:val="1DB62996"/>
    <w:lvl w:ilvl="0" w:tplc="3A88E830">
      <w:numFmt w:val="bullet"/>
      <w:lvlText w:val="-"/>
      <w:lvlJc w:val="left"/>
      <w:pPr>
        <w:ind w:left="673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 w16cid:durableId="1979191214">
    <w:abstractNumId w:val="0"/>
  </w:num>
  <w:num w:numId="2" w16cid:durableId="52045405">
    <w:abstractNumId w:val="2"/>
  </w:num>
  <w:num w:numId="3" w16cid:durableId="967273882">
    <w:abstractNumId w:val="1"/>
  </w:num>
  <w:num w:numId="4" w16cid:durableId="54016530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901155">
    <w:abstractNumId w:val="3"/>
  </w:num>
  <w:num w:numId="6" w16cid:durableId="1646272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05"/>
    <w:rsid w:val="0000030D"/>
    <w:rsid w:val="00003C00"/>
    <w:rsid w:val="00033755"/>
    <w:rsid w:val="00041E9E"/>
    <w:rsid w:val="000607A7"/>
    <w:rsid w:val="000F2373"/>
    <w:rsid w:val="001121D9"/>
    <w:rsid w:val="00113BF8"/>
    <w:rsid w:val="0015473F"/>
    <w:rsid w:val="00172761"/>
    <w:rsid w:val="00196DEE"/>
    <w:rsid w:val="001B5BB7"/>
    <w:rsid w:val="001C3258"/>
    <w:rsid w:val="00227B71"/>
    <w:rsid w:val="002445F6"/>
    <w:rsid w:val="002D677F"/>
    <w:rsid w:val="00304A50"/>
    <w:rsid w:val="00327743"/>
    <w:rsid w:val="00350B9D"/>
    <w:rsid w:val="00426D20"/>
    <w:rsid w:val="00435387"/>
    <w:rsid w:val="00462991"/>
    <w:rsid w:val="004B528C"/>
    <w:rsid w:val="004C4F8A"/>
    <w:rsid w:val="004C71ED"/>
    <w:rsid w:val="00515173"/>
    <w:rsid w:val="005513DF"/>
    <w:rsid w:val="00596917"/>
    <w:rsid w:val="005E0FB4"/>
    <w:rsid w:val="00614667"/>
    <w:rsid w:val="00681AE8"/>
    <w:rsid w:val="006C4324"/>
    <w:rsid w:val="007017D0"/>
    <w:rsid w:val="007562E0"/>
    <w:rsid w:val="007658F6"/>
    <w:rsid w:val="007B406B"/>
    <w:rsid w:val="007C37DD"/>
    <w:rsid w:val="008C2747"/>
    <w:rsid w:val="008F5B05"/>
    <w:rsid w:val="00A149A0"/>
    <w:rsid w:val="00A21334"/>
    <w:rsid w:val="00A529BE"/>
    <w:rsid w:val="00A54A35"/>
    <w:rsid w:val="00AF49D7"/>
    <w:rsid w:val="00B81CEC"/>
    <w:rsid w:val="00B82614"/>
    <w:rsid w:val="00BC7338"/>
    <w:rsid w:val="00CF7C81"/>
    <w:rsid w:val="00D32230"/>
    <w:rsid w:val="00D352E8"/>
    <w:rsid w:val="00D84107"/>
    <w:rsid w:val="00DB69DE"/>
    <w:rsid w:val="00DE64D3"/>
    <w:rsid w:val="00E151FD"/>
    <w:rsid w:val="00E96EB4"/>
    <w:rsid w:val="00E974E7"/>
    <w:rsid w:val="00EA5CAB"/>
    <w:rsid w:val="00EB255E"/>
    <w:rsid w:val="00EF10AF"/>
    <w:rsid w:val="00F318EC"/>
    <w:rsid w:val="00F53BB0"/>
    <w:rsid w:val="00FA44B3"/>
    <w:rsid w:val="047E1A54"/>
    <w:rsid w:val="06796A2D"/>
    <w:rsid w:val="07403E26"/>
    <w:rsid w:val="075A3CED"/>
    <w:rsid w:val="08845B88"/>
    <w:rsid w:val="08CC5F7D"/>
    <w:rsid w:val="09970759"/>
    <w:rsid w:val="0AC4770A"/>
    <w:rsid w:val="12616027"/>
    <w:rsid w:val="13421558"/>
    <w:rsid w:val="148A6443"/>
    <w:rsid w:val="162B00EE"/>
    <w:rsid w:val="18535174"/>
    <w:rsid w:val="1AC31A76"/>
    <w:rsid w:val="1D4F19E5"/>
    <w:rsid w:val="1D6E4ED7"/>
    <w:rsid w:val="1DD656CF"/>
    <w:rsid w:val="21805301"/>
    <w:rsid w:val="235A5E8C"/>
    <w:rsid w:val="26FF4EDB"/>
    <w:rsid w:val="295E3A01"/>
    <w:rsid w:val="2A5C071E"/>
    <w:rsid w:val="2ADE201C"/>
    <w:rsid w:val="2AE03793"/>
    <w:rsid w:val="2BAE6890"/>
    <w:rsid w:val="2C463F2B"/>
    <w:rsid w:val="314805C3"/>
    <w:rsid w:val="32D528F6"/>
    <w:rsid w:val="33143171"/>
    <w:rsid w:val="34683EAE"/>
    <w:rsid w:val="3A5714EB"/>
    <w:rsid w:val="3AB60DA4"/>
    <w:rsid w:val="3C8D1B8A"/>
    <w:rsid w:val="3D22462E"/>
    <w:rsid w:val="3D99633B"/>
    <w:rsid w:val="3F994C8C"/>
    <w:rsid w:val="406A5E3B"/>
    <w:rsid w:val="41F5041F"/>
    <w:rsid w:val="43E768F4"/>
    <w:rsid w:val="48D05610"/>
    <w:rsid w:val="4BA30626"/>
    <w:rsid w:val="4CD104D3"/>
    <w:rsid w:val="4E300C55"/>
    <w:rsid w:val="4E7219BD"/>
    <w:rsid w:val="59672288"/>
    <w:rsid w:val="5D151A34"/>
    <w:rsid w:val="60117C82"/>
    <w:rsid w:val="60602BF4"/>
    <w:rsid w:val="60A33475"/>
    <w:rsid w:val="61D66A13"/>
    <w:rsid w:val="6211345E"/>
    <w:rsid w:val="64110ED4"/>
    <w:rsid w:val="64C46EB8"/>
    <w:rsid w:val="66135DF7"/>
    <w:rsid w:val="66B54BE6"/>
    <w:rsid w:val="670A7276"/>
    <w:rsid w:val="68EC3BF7"/>
    <w:rsid w:val="690E2633"/>
    <w:rsid w:val="6A3A2708"/>
    <w:rsid w:val="6BA83737"/>
    <w:rsid w:val="6BCD082F"/>
    <w:rsid w:val="6C404029"/>
    <w:rsid w:val="6D3113B3"/>
    <w:rsid w:val="6D705E63"/>
    <w:rsid w:val="6F0F080D"/>
    <w:rsid w:val="700766FC"/>
    <w:rsid w:val="70776CBE"/>
    <w:rsid w:val="70BE476A"/>
    <w:rsid w:val="7162493B"/>
    <w:rsid w:val="72016718"/>
    <w:rsid w:val="754B297D"/>
    <w:rsid w:val="75F45394"/>
    <w:rsid w:val="762649DA"/>
    <w:rsid w:val="771F15FE"/>
    <w:rsid w:val="7A430EA6"/>
    <w:rsid w:val="7C8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53BC"/>
  <w15:docId w15:val="{A094CCD1-AF33-4B51-99F5-4E8A538F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paragraph" w:styleId="Standard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qFormat/>
    <w:rPr>
      <w:b/>
      <w:bCs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uiPriority w:val="39"/>
    <w:unhideWhenUsed/>
    <w:qFormat/>
    <w:pPr>
      <w:tabs>
        <w:tab w:val="right" w:leader="dot" w:pos="9062"/>
      </w:tabs>
      <w:spacing w:after="100"/>
    </w:pPr>
    <w:rPr>
      <w:rFonts w:ascii="Arial" w:eastAsia="Times New Roman" w:hAnsi="Arial" w:cs="Arial"/>
      <w:b/>
      <w:bCs/>
      <w:kern w:val="0"/>
      <w:lang w:eastAsia="hr-HR"/>
      <w14:ligatures w14:val="none"/>
    </w:rPr>
  </w:style>
  <w:style w:type="paragraph" w:styleId="Sadraj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qFormat/>
    <w:pPr>
      <w:spacing w:after="100"/>
      <w:ind w:left="660"/>
    </w:pPr>
    <w:rPr>
      <w:rFonts w:eastAsiaTheme="minorEastAsia"/>
      <w:lang w:eastAsia="hr-HR"/>
    </w:rPr>
  </w:style>
  <w:style w:type="paragraph" w:styleId="Sadraj5">
    <w:name w:val="toc 5"/>
    <w:basedOn w:val="Normal"/>
    <w:next w:val="Normal"/>
    <w:uiPriority w:val="39"/>
    <w:unhideWhenUsed/>
    <w:qFormat/>
    <w:pPr>
      <w:spacing w:after="100"/>
      <w:ind w:left="880"/>
    </w:pPr>
    <w:rPr>
      <w:rFonts w:eastAsiaTheme="minorEastAsia"/>
      <w:lang w:eastAsia="hr-HR"/>
    </w:rPr>
  </w:style>
  <w:style w:type="paragraph" w:styleId="Sadraj6">
    <w:name w:val="toc 6"/>
    <w:basedOn w:val="Normal"/>
    <w:next w:val="Normal"/>
    <w:uiPriority w:val="39"/>
    <w:unhideWhenUsed/>
    <w:qFormat/>
    <w:pPr>
      <w:spacing w:after="100"/>
      <w:ind w:left="1100"/>
    </w:pPr>
    <w:rPr>
      <w:rFonts w:eastAsiaTheme="minorEastAsia"/>
      <w:lang w:eastAsia="hr-HR"/>
    </w:rPr>
  </w:style>
  <w:style w:type="paragraph" w:styleId="Sadraj7">
    <w:name w:val="toc 7"/>
    <w:basedOn w:val="Normal"/>
    <w:next w:val="Normal"/>
    <w:uiPriority w:val="39"/>
    <w:unhideWhenUsed/>
    <w:qFormat/>
    <w:pPr>
      <w:spacing w:after="100"/>
      <w:ind w:left="1320"/>
    </w:pPr>
    <w:rPr>
      <w:rFonts w:eastAsiaTheme="minorEastAsia"/>
      <w:lang w:eastAsia="hr-HR"/>
    </w:rPr>
  </w:style>
  <w:style w:type="paragraph" w:styleId="Sadraj8">
    <w:name w:val="toc 8"/>
    <w:basedOn w:val="Normal"/>
    <w:next w:val="Normal"/>
    <w:uiPriority w:val="39"/>
    <w:unhideWhenUsed/>
    <w:qFormat/>
    <w:pPr>
      <w:spacing w:after="100"/>
      <w:ind w:left="1540"/>
    </w:pPr>
    <w:rPr>
      <w:rFonts w:eastAsiaTheme="minorEastAsia"/>
      <w:lang w:eastAsia="hr-HR"/>
    </w:rPr>
  </w:style>
  <w:style w:type="paragraph" w:styleId="Sadraj9">
    <w:name w:val="toc 9"/>
    <w:basedOn w:val="Normal"/>
    <w:next w:val="Normal"/>
    <w:uiPriority w:val="39"/>
    <w:unhideWhenUsed/>
    <w:qFormat/>
    <w:pPr>
      <w:spacing w:after="100"/>
      <w:ind w:left="1760"/>
    </w:pPr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kern w:val="2"/>
      <w14:ligatures w14:val="standardContextual"/>
    </w:rPr>
  </w:style>
  <w:style w:type="paragraph" w:customStyle="1" w:styleId="TOCNaslov1">
    <w:name w:val="TOC Naslov1"/>
    <w:basedOn w:val="Naslov1"/>
    <w:next w:val="Normal"/>
    <w:uiPriority w:val="39"/>
    <w:unhideWhenUsed/>
    <w:qFormat/>
    <w:pPr>
      <w:outlineLvl w:val="9"/>
    </w:pPr>
    <w:rPr>
      <w:kern w:val="0"/>
      <w:lang w:eastAsia="hr-HR"/>
      <w14:ligatures w14:val="non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blicareetke3-isticanje11">
    <w:name w:val="Tablica rešetke 3 - isticanje 11"/>
    <w:basedOn w:val="Obinatablica"/>
    <w:uiPriority w:val="48"/>
    <w:qFormat/>
    <w:rPr>
      <w:kern w:val="2"/>
      <w14:ligatures w14:val="standardContextual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icapopisa3-isticanje11">
    <w:name w:val="Tablica popisa 3- isticanje 11"/>
    <w:basedOn w:val="Obinatablica"/>
    <w:uiPriority w:val="48"/>
    <w:qFormat/>
    <w:rPr>
      <w:kern w:val="2"/>
      <w14:ligatures w14:val="standardContextual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qFormat/>
    <w:rPr>
      <w:kern w:val="2"/>
      <w14:ligatures w14:val="standardContextual"/>
    </w:rPr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popisa4-isticanje11">
    <w:name w:val="Tablica popisa 4 - isticanje 11"/>
    <w:basedOn w:val="Obinatablica"/>
    <w:uiPriority w:val="49"/>
    <w:qFormat/>
    <w:rPr>
      <w:kern w:val="2"/>
      <w14:ligatures w14:val="standardContextual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icareetke4-isticanje11">
    <w:name w:val="Tablica rešetke 4 - isticanje 11"/>
    <w:basedOn w:val="Obinatablica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5D50-67E7-40ED-BFFC-A273DA13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3049</Words>
  <Characters>17381</Characters>
  <Application>Microsoft Office Word</Application>
  <DocSecurity>0</DocSecurity>
  <Lines>144</Lines>
  <Paragraphs>40</Paragraphs>
  <ScaleCrop>false</ScaleCrop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bvresk@gmail.com</dc:creator>
  <cp:lastModifiedBy>Nataša Kleković</cp:lastModifiedBy>
  <cp:revision>2</cp:revision>
  <cp:lastPrinted>2024-11-06T20:23:00Z</cp:lastPrinted>
  <dcterms:created xsi:type="dcterms:W3CDTF">2025-06-26T12:10:00Z</dcterms:created>
  <dcterms:modified xsi:type="dcterms:W3CDTF">2025-06-26T12:10:00Z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FBB66C361D5A4A19B815073EEEE18751_13</vt:lpwstr>
  </property>
</Properties>
</file>