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59" w:type="dxa"/>
        <w:tblLayout w:type="fixed"/>
        <w:tblLook w:val="04A0" w:firstRow="1" w:lastRow="0" w:firstColumn="1" w:lastColumn="0" w:noHBand="0" w:noVBand="1"/>
      </w:tblPr>
      <w:tblGrid>
        <w:gridCol w:w="3959"/>
      </w:tblGrid>
      <w:tr w:rsidR="00784D15" w:rsidRPr="00784D15" w14:paraId="3FF897DA" w14:textId="77777777" w:rsidTr="00B85287">
        <w:trPr>
          <w:cantSplit/>
          <w:trHeight w:val="991"/>
        </w:trPr>
        <w:tc>
          <w:tcPr>
            <w:tcW w:w="3959" w:type="dxa"/>
          </w:tcPr>
          <w:p w14:paraId="4DF15FE4" w14:textId="5513C2DB" w:rsidR="00784D15" w:rsidRPr="00784D15" w:rsidRDefault="00784D15" w:rsidP="00B85287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bookmarkStart w:id="0" w:name="Head1"/>
            <w:r w:rsidRPr="00784D15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2B11644" wp14:editId="725229A0">
                  <wp:extent cx="458506" cy="592531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68" cy="59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D15" w:rsidRPr="00784D15" w14:paraId="43669602" w14:textId="77777777" w:rsidTr="00EA691F">
        <w:trPr>
          <w:cantSplit/>
          <w:trHeight w:val="642"/>
        </w:trPr>
        <w:tc>
          <w:tcPr>
            <w:tcW w:w="3959" w:type="dxa"/>
            <w:hideMark/>
          </w:tcPr>
          <w:p w14:paraId="3EE660DC" w14:textId="77777777" w:rsidR="00784D15" w:rsidRPr="00B85287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lang w:eastAsia="hr-HR"/>
              </w:rPr>
              <w:t>R E P U B L I K A  H R V A T S K A</w:t>
            </w:r>
          </w:p>
          <w:p w14:paraId="271EA985" w14:textId="77777777" w:rsidR="00784D15" w:rsidRPr="00B85287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lang w:eastAsia="hr-HR"/>
              </w:rPr>
              <w:t>PRIMORSKO – GORANSKA ŽUPANIJA</w:t>
            </w:r>
          </w:p>
          <w:p w14:paraId="5E5A25BC" w14:textId="77777777" w:rsidR="00784D15" w:rsidRPr="00B85287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r-HR"/>
              </w:rPr>
              <w:t>OPĆINA PUNAT</w:t>
            </w:r>
          </w:p>
        </w:tc>
      </w:tr>
      <w:tr w:rsidR="00784D15" w:rsidRPr="00784D15" w14:paraId="58EAFAD3" w14:textId="77777777" w:rsidTr="00EA691F">
        <w:trPr>
          <w:cantSplit/>
          <w:trHeight w:val="446"/>
        </w:trPr>
        <w:tc>
          <w:tcPr>
            <w:tcW w:w="3959" w:type="dxa"/>
          </w:tcPr>
          <w:p w14:paraId="5195961B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OPĆINSKI NAČELNIK</w:t>
            </w:r>
          </w:p>
          <w:p w14:paraId="72AC594E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jc w:val="left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784D15" w:rsidRPr="00784D15" w14:paraId="6413A1DC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49A5434C" w14:textId="259A9915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KLASA: 008-02/2</w:t>
            </w:r>
            <w:r w:rsidR="00B4799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-01/</w:t>
            </w:r>
            <w:r w:rsidR="00DB4CD8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784D15" w:rsidRPr="00784D15" w14:paraId="79D60C98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60355A4C" w14:textId="17A7D323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URBROJ: 2170-31-0</w:t>
            </w:r>
            <w:r w:rsidR="004634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/</w:t>
            </w:r>
            <w:r w:rsidR="004634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01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-2</w:t>
            </w:r>
            <w:r w:rsidR="00B4799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</w:t>
            </w:r>
            <w:r w:rsidR="00B4799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784D15" w:rsidRPr="00784D15" w14:paraId="67615CB5" w14:textId="77777777" w:rsidTr="00EA691F">
        <w:trPr>
          <w:cantSplit/>
          <w:trHeight w:val="80"/>
        </w:trPr>
        <w:tc>
          <w:tcPr>
            <w:tcW w:w="3959" w:type="dxa"/>
            <w:hideMark/>
          </w:tcPr>
          <w:p w14:paraId="23AE0E25" w14:textId="2960631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Punat, </w:t>
            </w:r>
            <w:r w:rsidR="00B4799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31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. </w:t>
            </w:r>
            <w:r w:rsidR="00B4799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prosinca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202</w:t>
            </w:r>
            <w:r w:rsidR="001E1477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. godine</w:t>
            </w:r>
          </w:p>
        </w:tc>
      </w:tr>
      <w:bookmarkEnd w:id="0"/>
    </w:tbl>
    <w:p w14:paraId="1D2E7F98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BE1BD04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E1D1147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2CADE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91954D5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BD8536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504A96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E4A2F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4D055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D2E77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B06D303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FDA13EC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3B2C0F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1627C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CDC6442" w14:textId="67F7EF6D" w:rsidR="00B85287" w:rsidRDefault="00B85287" w:rsidP="00B85287">
      <w:pPr>
        <w:shd w:val="clear" w:color="auto" w:fill="FFFFFF"/>
        <w:ind w:left="0"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Na temelju članka 11. stavak 5. Zakona o pravu na pristup informacijama („Narodne novine“ broj 25/13, 85/15 i 69/22) i članka 46. Statuta Općine Punat („Službene novine Primorsko-goranske županije“ broj 36/22) općinski načelnik Općine Punat donosi</w:t>
      </w:r>
    </w:p>
    <w:p w14:paraId="17250D07" w14:textId="77777777" w:rsidR="00B85287" w:rsidRDefault="00B85287" w:rsidP="00B85287">
      <w:pPr>
        <w:shd w:val="clear" w:color="auto" w:fill="FFFFFF"/>
        <w:ind w:left="0"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DFF097F" w14:textId="2BB0E821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PLAN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savjetovanja s javnošću u 202</w:t>
      </w:r>
      <w:r w:rsidR="00B4799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5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. godini</w:t>
      </w:r>
    </w:p>
    <w:p w14:paraId="2C694C32" w14:textId="77777777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C1C3EF3" w14:textId="77777777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I.</w:t>
      </w:r>
    </w:p>
    <w:p w14:paraId="12A7ED30" w14:textId="3A508AB9" w:rsidR="00B85287" w:rsidRDefault="00B4799E" w:rsidP="00B85287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P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lan savjetovanja s javnošću u 202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5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. godini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sadrži opće akte odnosno 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stratešk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ili plansk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dokumenata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, kojima se utječe na interese građana i pravnih osoba na području Općine Punat.</w:t>
      </w:r>
    </w:p>
    <w:p w14:paraId="343DB936" w14:textId="77777777" w:rsidR="00B4799E" w:rsidRDefault="00B4799E" w:rsidP="00B85287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2B6E3DF6" w14:textId="05563D5F" w:rsidR="00B4799E" w:rsidRDefault="00B4799E" w:rsidP="00B4799E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B4799E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II.</w:t>
      </w:r>
    </w:p>
    <w:p w14:paraId="54DE39A4" w14:textId="7DB04009" w:rsidR="00B4799E" w:rsidRDefault="00B4799E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4799E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 2025. godini savjetovanje s javnošću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provest će se u postupku donošenja akata odnosno strateških ili planskih dokumenata navedenih u tablici koja je sastavni dio ovog Plana.</w:t>
      </w:r>
    </w:p>
    <w:p w14:paraId="20725A04" w14:textId="77777777" w:rsidR="00B4799E" w:rsidRDefault="00B4799E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C4BD1EE" w14:textId="74AC9413" w:rsidR="00CC06B7" w:rsidRPr="00CC06B7" w:rsidRDefault="00CC06B7" w:rsidP="00CC06B7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CC06B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III.</w:t>
      </w:r>
    </w:p>
    <w:p w14:paraId="3B767F00" w14:textId="748B46B4" w:rsidR="00CC06B7" w:rsidRDefault="00CC06B7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Općina Punat savjetovanje s javnošću provodi putem službene web stranice na adresi </w:t>
      </w:r>
      <w:hyperlink r:id="rId8" w:history="1">
        <w:r w:rsidRPr="00791F93">
          <w:rPr>
            <w:rStyle w:val="Hiperveza"/>
            <w:rFonts w:ascii="Garamond" w:eastAsia="Times New Roman" w:hAnsi="Garamond" w:cs="Times New Roman"/>
            <w:sz w:val="24"/>
            <w:szCs w:val="24"/>
            <w:lang w:eastAsia="hr-HR"/>
          </w:rPr>
          <w:t>www.punat.hr</w:t>
        </w:r>
      </w:hyperlink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objavom nacrta općih akata odnosno drugih dokumenata o kojima se savjetovanje provodi u pravilu u trajanju od 30 dana.</w:t>
      </w:r>
    </w:p>
    <w:p w14:paraId="73AD1AB9" w14:textId="77777777" w:rsidR="00CC06B7" w:rsidRDefault="00CC06B7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9E947ED" w14:textId="543F6E37" w:rsidR="00CC06B7" w:rsidRPr="00CC06B7" w:rsidRDefault="00CC06B7" w:rsidP="00CC06B7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CC06B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IV.</w:t>
      </w:r>
    </w:p>
    <w:p w14:paraId="222E6157" w14:textId="2B602875" w:rsidR="00CC06B7" w:rsidRDefault="00CC06B7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Ovaj Plan objavit će se u „Službenim novinama Primorsko – goranske županije“, a stupa na snagu 1. siječnja 2025. godine.</w:t>
      </w:r>
    </w:p>
    <w:p w14:paraId="45375A03" w14:textId="77777777" w:rsidR="00CC06B7" w:rsidRDefault="00CC06B7" w:rsidP="00CC06B7">
      <w:pPr>
        <w:shd w:val="clear" w:color="auto" w:fill="FFFFFF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4ADB842" w14:textId="77777777" w:rsidR="00CC06B7" w:rsidRDefault="00CC06B7" w:rsidP="00CC06B7">
      <w:pPr>
        <w:shd w:val="clear" w:color="auto" w:fill="FFFFFF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</w:t>
      </w:r>
    </w:p>
    <w:p w14:paraId="6276351B" w14:textId="0F5BF60A" w:rsidR="00CC06B7" w:rsidRPr="00CC06B7" w:rsidRDefault="00CC06B7" w:rsidP="00CC06B7">
      <w:pPr>
        <w:shd w:val="clear" w:color="auto" w:fill="FFFFFF"/>
        <w:ind w:firstLine="1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</w:t>
      </w:r>
      <w:r w:rsidRPr="00CC06B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OPĆINSKI NAČELNIK</w:t>
      </w:r>
    </w:p>
    <w:p w14:paraId="6BE03BC6" w14:textId="77777777" w:rsidR="00CC06B7" w:rsidRPr="00CC06B7" w:rsidRDefault="00CC06B7" w:rsidP="00CC06B7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BDB875E" w14:textId="5181892F" w:rsidR="00CC06B7" w:rsidRDefault="00CC06B7" w:rsidP="00CC06B7">
      <w:pPr>
        <w:shd w:val="clear" w:color="auto" w:fill="FFFFFF"/>
        <w:ind w:left="1008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</w:t>
      </w:r>
      <w:r w:rsidRPr="00CC06B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Daniel Strčić, bacc.inf.</w:t>
      </w:r>
    </w:p>
    <w:p w14:paraId="5789B3C0" w14:textId="77777777" w:rsidR="00CC06B7" w:rsidRPr="00B4799E" w:rsidRDefault="00CC06B7" w:rsidP="00B4799E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E09DCF2" w14:textId="6276EDF4" w:rsidR="00CC06B7" w:rsidRDefault="00CC06B7" w:rsidP="00CC06B7">
      <w:pPr>
        <w:shd w:val="clear" w:color="auto" w:fill="FFFFFF"/>
        <w:spacing w:before="100" w:beforeAutospacing="1" w:after="100" w:afterAutospacing="1"/>
        <w:ind w:left="0"/>
        <w:jc w:val="lef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Prilog: TABLICA</w:t>
      </w:r>
    </w:p>
    <w:p w14:paraId="03D64306" w14:textId="64725C5D" w:rsidR="00784D15" w:rsidRPr="00B85287" w:rsidRDefault="00B85287" w:rsidP="00B85287">
      <w:p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85287">
        <w:rPr>
          <w:rFonts w:ascii="Garamond" w:hAnsi="Garamond" w:cs="Arial"/>
          <w:b/>
        </w:rPr>
        <w:t>OPĆINA PUNAT –  PLAN SAVJETOVANJA S JAVNOŠĆU U 202</w:t>
      </w:r>
      <w:r w:rsidR="000A37E3">
        <w:rPr>
          <w:rFonts w:ascii="Garamond" w:hAnsi="Garamond" w:cs="Arial"/>
          <w:b/>
        </w:rPr>
        <w:t>5</w:t>
      </w:r>
      <w:r w:rsidRPr="00B85287">
        <w:rPr>
          <w:rFonts w:ascii="Garamond" w:hAnsi="Garamond" w:cs="Arial"/>
          <w:b/>
        </w:rPr>
        <w:t>. GODINI</w:t>
      </w:r>
    </w:p>
    <w:tbl>
      <w:tblPr>
        <w:tblStyle w:val="Reetkatablice"/>
        <w:tblW w:w="15070" w:type="dxa"/>
        <w:tblLook w:val="04A0" w:firstRow="1" w:lastRow="0" w:firstColumn="1" w:lastColumn="0" w:noHBand="0" w:noVBand="1"/>
      </w:tblPr>
      <w:tblGrid>
        <w:gridCol w:w="884"/>
        <w:gridCol w:w="2267"/>
        <w:gridCol w:w="2267"/>
        <w:gridCol w:w="1761"/>
        <w:gridCol w:w="1761"/>
        <w:gridCol w:w="1492"/>
        <w:gridCol w:w="3137"/>
        <w:gridCol w:w="1501"/>
      </w:tblGrid>
      <w:tr w:rsidR="00B85287" w:rsidRPr="00B85287" w14:paraId="7360BD14" w14:textId="77777777" w:rsidTr="00B85287">
        <w:tc>
          <w:tcPr>
            <w:tcW w:w="884" w:type="dxa"/>
            <w:shd w:val="clear" w:color="auto" w:fill="D5DCE4" w:themeFill="text2" w:themeFillTint="33"/>
            <w:vAlign w:val="center"/>
          </w:tcPr>
          <w:p w14:paraId="29A9F370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bookmarkStart w:id="1" w:name="_Hlk171423376"/>
            <w:r w:rsidRPr="00B85287">
              <w:rPr>
                <w:rFonts w:ascii="Garamond" w:hAnsi="Garamond" w:cs="Arial"/>
                <w:sz w:val="21"/>
                <w:szCs w:val="21"/>
              </w:rPr>
              <w:t>REDNI BROJ</w:t>
            </w:r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77ECEACC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NAZIV OPĆEG AKTA/DOKUMENTA</w:t>
            </w:r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56F88F84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18A69B17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NAČIN PROVEDBE SAVJETOVANJA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4A98768E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492" w:type="dxa"/>
            <w:shd w:val="clear" w:color="auto" w:fill="D5DCE4" w:themeFill="text2" w:themeFillTint="33"/>
            <w:vAlign w:val="center"/>
          </w:tcPr>
          <w:p w14:paraId="5608FE13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3137" w:type="dxa"/>
            <w:shd w:val="clear" w:color="auto" w:fill="D5DCE4" w:themeFill="text2" w:themeFillTint="33"/>
            <w:vAlign w:val="center"/>
          </w:tcPr>
          <w:p w14:paraId="32080C99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OSTALI PREDVIĐENI NAČINI PROVEDBE SAVJETOVANJE/OČEKIVANO VRIJEME</w:t>
            </w:r>
          </w:p>
        </w:tc>
        <w:tc>
          <w:tcPr>
            <w:tcW w:w="1501" w:type="dxa"/>
            <w:shd w:val="clear" w:color="auto" w:fill="D5DCE4" w:themeFill="text2" w:themeFillTint="33"/>
            <w:vAlign w:val="center"/>
          </w:tcPr>
          <w:p w14:paraId="79D8206C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DONOSITELJ AKTA</w:t>
            </w:r>
          </w:p>
        </w:tc>
      </w:tr>
      <w:tr w:rsidR="005B5AF1" w:rsidRPr="00B85287" w14:paraId="2DFC5039" w14:textId="77777777" w:rsidTr="004B5B57">
        <w:tc>
          <w:tcPr>
            <w:tcW w:w="884" w:type="dxa"/>
            <w:vAlign w:val="center"/>
          </w:tcPr>
          <w:p w14:paraId="61428D31" w14:textId="60CB583D" w:rsidR="005B5AF1" w:rsidRPr="00B85287" w:rsidRDefault="005B5AF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 w:rsidRPr="00B85287">
              <w:rPr>
                <w:rFonts w:ascii="Garamond" w:hAnsi="Garamond" w:cs="Arial"/>
                <w:b/>
                <w:sz w:val="21"/>
                <w:szCs w:val="21"/>
              </w:rPr>
              <w:t>1.</w:t>
            </w:r>
          </w:p>
        </w:tc>
        <w:tc>
          <w:tcPr>
            <w:tcW w:w="2267" w:type="dxa"/>
          </w:tcPr>
          <w:p w14:paraId="512F846A" w14:textId="6E04E615" w:rsidR="005B5AF1" w:rsidRPr="00B85287" w:rsidRDefault="003F6542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3F6542">
              <w:rPr>
                <w:rFonts w:ascii="Garamond" w:hAnsi="Garamond"/>
                <w:b/>
                <w:bCs/>
                <w:sz w:val="21"/>
                <w:szCs w:val="21"/>
              </w:rPr>
              <w:t>Javno savjetovanje o prijedlogu Odluke o porezima Općine Punat</w:t>
            </w:r>
          </w:p>
        </w:tc>
        <w:tc>
          <w:tcPr>
            <w:tcW w:w="2267" w:type="dxa"/>
          </w:tcPr>
          <w:p w14:paraId="305927DB" w14:textId="77777777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 xml:space="preserve">Jedinstveni upravni odjel, </w:t>
            </w:r>
          </w:p>
          <w:p w14:paraId="08C4A608" w14:textId="675ADB6A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</w:tcPr>
          <w:p w14:paraId="7B22368D" w14:textId="23A07010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6A93C185" w14:textId="5CF7E7A2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417406B9" w14:textId="6B54D068" w:rsidR="005B5AF1" w:rsidRPr="0094000D" w:rsidRDefault="003F6542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1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polugodište 202</w:t>
            </w:r>
            <w:r w:rsidR="005B5AF1">
              <w:rPr>
                <w:rFonts w:ascii="Garamond" w:hAnsi="Garamond" w:cs="Arial"/>
                <w:sz w:val="21"/>
                <w:szCs w:val="21"/>
              </w:rPr>
              <w:t>5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1B32C745" w14:textId="5998BFB1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0613504D" w14:textId="5B542810" w:rsidR="005B5AF1" w:rsidRPr="005513ED" w:rsidRDefault="005513ED" w:rsidP="005B5AF1">
            <w:pPr>
              <w:ind w:left="0"/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</w:pPr>
            <w:r w:rsidRPr="005513ED"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  <w:t>Povjerenik Vlade Republike Hrvatske za obavljanje poslova iz nadležnosti općinskog vijeća Općine Punat</w:t>
            </w:r>
          </w:p>
        </w:tc>
      </w:tr>
      <w:tr w:rsidR="005B5AF1" w:rsidRPr="00B85287" w14:paraId="095C564C" w14:textId="77777777" w:rsidTr="004B5B57">
        <w:tc>
          <w:tcPr>
            <w:tcW w:w="884" w:type="dxa"/>
            <w:vAlign w:val="center"/>
          </w:tcPr>
          <w:p w14:paraId="3AE5EA24" w14:textId="00384ED4" w:rsidR="005B5AF1" w:rsidRPr="00B85287" w:rsidRDefault="005B5AF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2.</w:t>
            </w:r>
          </w:p>
        </w:tc>
        <w:tc>
          <w:tcPr>
            <w:tcW w:w="2267" w:type="dxa"/>
          </w:tcPr>
          <w:p w14:paraId="21542FC3" w14:textId="4B9C0D52" w:rsidR="005B5AF1" w:rsidRPr="00B85287" w:rsidRDefault="003F6542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3F6542">
              <w:rPr>
                <w:rFonts w:ascii="Garamond" w:hAnsi="Garamond"/>
                <w:b/>
                <w:bCs/>
                <w:sz w:val="21"/>
                <w:szCs w:val="21"/>
              </w:rPr>
              <w:t>Javno savjetovanje o prijedlogu Odluke o visini paušalnog poreza na dohodak za djelatnosti iznajmljivanja i smještaja u turizmu</w:t>
            </w:r>
          </w:p>
        </w:tc>
        <w:tc>
          <w:tcPr>
            <w:tcW w:w="2267" w:type="dxa"/>
          </w:tcPr>
          <w:p w14:paraId="61AEC1F9" w14:textId="77777777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 xml:space="preserve">Jedinstveni upravni odjel, </w:t>
            </w:r>
          </w:p>
          <w:p w14:paraId="35B906A9" w14:textId="08545A8E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</w:tcPr>
          <w:p w14:paraId="16414B6D" w14:textId="2722BF0C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61F759C1" w14:textId="7B07F171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693B340D" w14:textId="499EE20D" w:rsidR="005B5AF1" w:rsidRPr="0094000D" w:rsidRDefault="003F6542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1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polugodište 202</w:t>
            </w:r>
            <w:r w:rsidR="005B5AF1">
              <w:rPr>
                <w:rFonts w:ascii="Garamond" w:hAnsi="Garamond" w:cs="Arial"/>
                <w:sz w:val="21"/>
                <w:szCs w:val="21"/>
              </w:rPr>
              <w:t>5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1F48C8FE" w14:textId="2CCA4DA7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46536BD3" w14:textId="1A886EB4" w:rsidR="005B5AF1" w:rsidRPr="0094000D" w:rsidRDefault="005513ED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5513ED"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  <w:t>Povjerenik Vlade Republike Hrvatske za obavljanje poslova iz nadležnosti općinskog vijeća Općine Punat</w:t>
            </w:r>
          </w:p>
        </w:tc>
      </w:tr>
      <w:tr w:rsidR="005B5AF1" w:rsidRPr="00B85287" w14:paraId="74854ACA" w14:textId="77777777" w:rsidTr="004B5B57">
        <w:tc>
          <w:tcPr>
            <w:tcW w:w="884" w:type="dxa"/>
            <w:vAlign w:val="center"/>
          </w:tcPr>
          <w:p w14:paraId="5E8BAAB1" w14:textId="022D9D1C" w:rsidR="005B5AF1" w:rsidRPr="00B85287" w:rsidRDefault="005B5AF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3.</w:t>
            </w:r>
          </w:p>
        </w:tc>
        <w:tc>
          <w:tcPr>
            <w:tcW w:w="2267" w:type="dxa"/>
          </w:tcPr>
          <w:p w14:paraId="2F203B51" w14:textId="68F295A8" w:rsidR="005B5AF1" w:rsidRPr="00B85287" w:rsidRDefault="003F6542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3F6542">
              <w:rPr>
                <w:rFonts w:ascii="Garamond" w:hAnsi="Garamond"/>
                <w:b/>
                <w:bCs/>
                <w:sz w:val="21"/>
                <w:szCs w:val="21"/>
              </w:rPr>
              <w:t>Javno savjetovanje o prijedlogu Odluke o visini poreznih stopa poreza na dohodak u Općini Punat</w:t>
            </w:r>
          </w:p>
        </w:tc>
        <w:tc>
          <w:tcPr>
            <w:tcW w:w="2267" w:type="dxa"/>
          </w:tcPr>
          <w:p w14:paraId="0E090AA7" w14:textId="77777777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 xml:space="preserve">Jedinstveni upravni odjel, </w:t>
            </w:r>
          </w:p>
          <w:p w14:paraId="0290654D" w14:textId="0BEA54F4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</w:tcPr>
          <w:p w14:paraId="788AEA66" w14:textId="37C9D588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044F4A70" w14:textId="5511816C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70E76D25" w14:textId="58D465F6" w:rsidR="005B5AF1" w:rsidRPr="0094000D" w:rsidRDefault="003F6542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1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polugodište 202</w:t>
            </w:r>
            <w:r w:rsidR="005B5AF1">
              <w:rPr>
                <w:rFonts w:ascii="Garamond" w:hAnsi="Garamond" w:cs="Arial"/>
                <w:sz w:val="21"/>
                <w:szCs w:val="21"/>
              </w:rPr>
              <w:t>5</w:t>
            </w:r>
            <w:r w:rsidR="005B5AF1"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79532910" w14:textId="388BA87B" w:rsidR="005B5AF1" w:rsidRPr="0094000D" w:rsidRDefault="005B5AF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065B3823" w14:textId="37AFFCBE" w:rsidR="005B5AF1" w:rsidRPr="0094000D" w:rsidRDefault="005513ED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5513ED"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  <w:t>Povjerenik Vlade Republike Hrvatske za obavljanje poslova iz nadležnosti općinskog vijeća Općine Punat</w:t>
            </w:r>
          </w:p>
        </w:tc>
      </w:tr>
      <w:tr w:rsidR="00976671" w:rsidRPr="00B85287" w14:paraId="2529AC23" w14:textId="77777777" w:rsidTr="004B5B57">
        <w:tc>
          <w:tcPr>
            <w:tcW w:w="884" w:type="dxa"/>
            <w:vAlign w:val="center"/>
          </w:tcPr>
          <w:p w14:paraId="40E1731E" w14:textId="562DB13C" w:rsidR="00976671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4.</w:t>
            </w:r>
          </w:p>
        </w:tc>
        <w:tc>
          <w:tcPr>
            <w:tcW w:w="2267" w:type="dxa"/>
          </w:tcPr>
          <w:p w14:paraId="240A0B0F" w14:textId="2120ACCB" w:rsidR="00976671" w:rsidRPr="003F6542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Proračun Općine Punat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 xml:space="preserve">. godinu 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lastRenderedPageBreak/>
              <w:t>i projekcije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6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. i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7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. godinu</w:t>
            </w:r>
          </w:p>
        </w:tc>
        <w:tc>
          <w:tcPr>
            <w:tcW w:w="2267" w:type="dxa"/>
          </w:tcPr>
          <w:p w14:paraId="010B568F" w14:textId="77777777" w:rsidR="00976671" w:rsidRPr="0094000D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lastRenderedPageBreak/>
              <w:t xml:space="preserve">Jedinstveni upravni odjel, </w:t>
            </w:r>
          </w:p>
          <w:p w14:paraId="30570B07" w14:textId="2B045B61" w:rsidR="00976671" w:rsidRPr="0094000D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lastRenderedPageBreak/>
              <w:t>Odsjek za financije, društvene i imovinsko-pravne poslove</w:t>
            </w:r>
          </w:p>
        </w:tc>
        <w:tc>
          <w:tcPr>
            <w:tcW w:w="1761" w:type="dxa"/>
          </w:tcPr>
          <w:p w14:paraId="164ED773" w14:textId="569683CB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lastRenderedPageBreak/>
              <w:t xml:space="preserve">Internetsko savjetovanje na </w:t>
            </w:r>
            <w:hyperlink r:id="rId12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69AC0A53" w14:textId="7841E3F3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08151129" w14:textId="7E70A0B1" w:rsidR="00976671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2B4000CD" w14:textId="34BF336B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516B8712" w14:textId="2D260D54" w:rsidR="00976671" w:rsidRPr="005513ED" w:rsidRDefault="00976671" w:rsidP="005B5AF1">
            <w:pPr>
              <w:ind w:left="0"/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76671" w:rsidRPr="00B85287" w14:paraId="229F08B2" w14:textId="77777777" w:rsidTr="004B5B57">
        <w:tc>
          <w:tcPr>
            <w:tcW w:w="884" w:type="dxa"/>
            <w:vAlign w:val="center"/>
          </w:tcPr>
          <w:p w14:paraId="736C5CBD" w14:textId="26A7BA93" w:rsidR="00976671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5.</w:t>
            </w:r>
          </w:p>
        </w:tc>
        <w:tc>
          <w:tcPr>
            <w:tcW w:w="2267" w:type="dxa"/>
          </w:tcPr>
          <w:p w14:paraId="1F2EC6A8" w14:textId="233806FE" w:rsidR="00976671" w:rsidRPr="003F6542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Program održavanja komunalne infrastrukture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 xml:space="preserve">na području Općine Punat 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u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</w:tcPr>
          <w:p w14:paraId="2742BEB4" w14:textId="77777777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6087E895" w14:textId="469AD87B" w:rsidR="00976671" w:rsidRPr="0094000D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</w:tcPr>
          <w:p w14:paraId="58F275E4" w14:textId="674ADDEF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3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68A19CE5" w14:textId="12D2C7EF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1B0CDAB4" w14:textId="41D19785" w:rsidR="00976671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572EF93D" w14:textId="26246883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401C8ECC" w14:textId="7C5F4F87" w:rsidR="00976671" w:rsidRPr="005513ED" w:rsidRDefault="00976671" w:rsidP="005B5AF1">
            <w:pPr>
              <w:ind w:left="0"/>
              <w:rPr>
                <w:rFonts w:ascii="Garamond" w:eastAsia="Times New Roman" w:hAnsi="Garamond" w:cs="Times New Roman"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1D2FD7" w:rsidRPr="00B85287" w14:paraId="2533129A" w14:textId="77777777" w:rsidTr="004B5B57">
        <w:tc>
          <w:tcPr>
            <w:tcW w:w="884" w:type="dxa"/>
            <w:vAlign w:val="center"/>
          </w:tcPr>
          <w:p w14:paraId="67D6BC45" w14:textId="16FA30E8" w:rsidR="001D2FD7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6.</w:t>
            </w:r>
          </w:p>
        </w:tc>
        <w:tc>
          <w:tcPr>
            <w:tcW w:w="2267" w:type="dxa"/>
          </w:tcPr>
          <w:p w14:paraId="34019136" w14:textId="0527AB35" w:rsidR="001D2FD7" w:rsidRPr="003F6542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Program građenja komunalne infrastrukture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 xml:space="preserve">na području Općine Punat 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u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</w:tcPr>
          <w:p w14:paraId="36ACB45D" w14:textId="77777777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3B2C9EE8" w14:textId="1A902E14" w:rsidR="001D2FD7" w:rsidRPr="0094000D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</w:tcPr>
          <w:p w14:paraId="39D8FF67" w14:textId="3E30F5D6" w:rsidR="001D2FD7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4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54CAD315" w14:textId="3B4CC99B" w:rsidR="001D2FD7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04109D1B" w14:textId="20AE8E7A" w:rsidR="001D2FD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0C67CB6F" w14:textId="5DCA3EDB" w:rsidR="001D2FD7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04F424C3" w14:textId="6F7AEA6C" w:rsidR="001D2FD7" w:rsidRPr="0094000D" w:rsidRDefault="00976671" w:rsidP="005B5AF1">
            <w:pPr>
              <w:ind w:left="0"/>
              <w:rPr>
                <w:rFonts w:ascii="Garamond" w:eastAsia="Times New Roman" w:hAnsi="Garamond" w:cs="Times New Roman"/>
                <w:b/>
                <w:bCs/>
                <w:sz w:val="21"/>
                <w:szCs w:val="21"/>
                <w:lang w:eastAsia="hr-HR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76671" w:rsidRPr="00B85287" w14:paraId="1E259E7C" w14:textId="77777777" w:rsidTr="004B5B57">
        <w:tc>
          <w:tcPr>
            <w:tcW w:w="884" w:type="dxa"/>
            <w:vAlign w:val="center"/>
          </w:tcPr>
          <w:p w14:paraId="0F8D8F88" w14:textId="433DE88B" w:rsidR="00976671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7.</w:t>
            </w:r>
          </w:p>
        </w:tc>
        <w:tc>
          <w:tcPr>
            <w:tcW w:w="2267" w:type="dxa"/>
          </w:tcPr>
          <w:p w14:paraId="44C80855" w14:textId="0ADAC01C" w:rsidR="00976671" w:rsidRPr="0094000D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 xml:space="preserve">I. izmjene i dopune 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Proračun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a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 Općine Punat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. godinu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s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 projekcij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ama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6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i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7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godinu</w:t>
            </w:r>
          </w:p>
        </w:tc>
        <w:tc>
          <w:tcPr>
            <w:tcW w:w="2267" w:type="dxa"/>
          </w:tcPr>
          <w:p w14:paraId="3B314076" w14:textId="77777777" w:rsidR="00976671" w:rsidRPr="0094000D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 xml:space="preserve">Jedinstveni upravni odjel, </w:t>
            </w:r>
          </w:p>
          <w:p w14:paraId="48F479FF" w14:textId="6B82C4BC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</w:tcPr>
          <w:p w14:paraId="65F912A9" w14:textId="4DB61117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5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1F4DD43C" w14:textId="261C1D45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07D3B86C" w14:textId="7F9D09E9" w:rsidR="00976671" w:rsidRPr="0094000D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6056CAAB" w14:textId="7AC5582C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7CA9EE3D" w14:textId="75BCB97E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76671" w:rsidRPr="00B85287" w14:paraId="62450F5F" w14:textId="77777777" w:rsidTr="004B5B57">
        <w:tc>
          <w:tcPr>
            <w:tcW w:w="884" w:type="dxa"/>
            <w:vAlign w:val="center"/>
          </w:tcPr>
          <w:p w14:paraId="341EB0DA" w14:textId="10183B61" w:rsidR="00976671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8.</w:t>
            </w:r>
          </w:p>
        </w:tc>
        <w:tc>
          <w:tcPr>
            <w:tcW w:w="2267" w:type="dxa"/>
          </w:tcPr>
          <w:p w14:paraId="18736DFE" w14:textId="2DF0D42F" w:rsidR="00976671" w:rsidRPr="0094000D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I. izmjene Programa održavanja komunalne infrastrukture na području Općine Punat u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</w:tcPr>
          <w:p w14:paraId="7CF4D0CC" w14:textId="77777777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1F4F781A" w14:textId="56FB26BB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</w:tcPr>
          <w:p w14:paraId="46BF3438" w14:textId="5CBA7CF1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6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304319B8" w14:textId="1F9B99FD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193E655D" w14:textId="46921AA4" w:rsidR="00976671" w:rsidRPr="0094000D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09C35923" w14:textId="7FD47A27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263F379B" w14:textId="64250E05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76671" w:rsidRPr="00B85287" w14:paraId="7E962ECF" w14:textId="77777777" w:rsidTr="004B5B57">
        <w:tc>
          <w:tcPr>
            <w:tcW w:w="884" w:type="dxa"/>
            <w:vAlign w:val="center"/>
          </w:tcPr>
          <w:p w14:paraId="14719829" w14:textId="0D0E4030" w:rsidR="00976671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9.</w:t>
            </w:r>
          </w:p>
        </w:tc>
        <w:tc>
          <w:tcPr>
            <w:tcW w:w="2267" w:type="dxa"/>
          </w:tcPr>
          <w:p w14:paraId="64E707FA" w14:textId="2EB93079" w:rsidR="00976671" w:rsidRPr="0094000D" w:rsidRDefault="0097667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I. izmjene i dopune Programa građenja komunalne infrastrukture na području Općine Punat u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5</w:t>
            </w:r>
            <w:r w:rsidRPr="00976671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</w:tcPr>
          <w:p w14:paraId="635ADEE7" w14:textId="77777777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0E29ECAC" w14:textId="30263B94" w:rsidR="00976671" w:rsidRPr="00B85287" w:rsidRDefault="00976671" w:rsidP="0097667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</w:tcPr>
          <w:p w14:paraId="796936B5" w14:textId="7957FE5E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7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5464AEBF" w14:textId="2F6F420C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3590ABEE" w14:textId="6E14EE1A" w:rsidR="00976671" w:rsidRPr="0094000D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0A209B70" w14:textId="155F3936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1FF7C03A" w14:textId="6BF13B4B" w:rsidR="00976671" w:rsidRPr="00B85287" w:rsidRDefault="0097667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5B5AF1" w:rsidRPr="00B85287" w14:paraId="461DEF8A" w14:textId="77777777" w:rsidTr="004B5B57">
        <w:tc>
          <w:tcPr>
            <w:tcW w:w="884" w:type="dxa"/>
            <w:vAlign w:val="center"/>
          </w:tcPr>
          <w:p w14:paraId="015AABC0" w14:textId="69DD92C1" w:rsidR="005B5AF1" w:rsidRPr="00B85287" w:rsidRDefault="00976671" w:rsidP="005B5AF1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10</w:t>
            </w:r>
            <w:r w:rsidR="005B5AF1"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</w:tcPr>
          <w:p w14:paraId="0E7B984E" w14:textId="3085E430" w:rsidR="005B5AF1" w:rsidRPr="0094000D" w:rsidRDefault="005B5AF1" w:rsidP="005B5AF1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Proračun Općine Punat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6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godinu i projekcije za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7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i 202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8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godinu</w:t>
            </w:r>
          </w:p>
        </w:tc>
        <w:tc>
          <w:tcPr>
            <w:tcW w:w="2267" w:type="dxa"/>
          </w:tcPr>
          <w:p w14:paraId="1B8FD337" w14:textId="77777777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 xml:space="preserve">Jedinstveni upravni odjel, </w:t>
            </w:r>
          </w:p>
          <w:p w14:paraId="368E9A9D" w14:textId="77A6AD48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</w:tcPr>
          <w:p w14:paraId="17CE59CF" w14:textId="5052AE39" w:rsidR="005B5AF1" w:rsidRPr="00B85287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8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</w:tcPr>
          <w:p w14:paraId="6258110C" w14:textId="0EF29F58" w:rsidR="005B5AF1" w:rsidRPr="00B85287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</w:tcPr>
          <w:p w14:paraId="6792D1B3" w14:textId="0CD7B642" w:rsidR="005B5AF1" w:rsidRPr="0094000D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</w:tcPr>
          <w:p w14:paraId="06839FCA" w14:textId="4A77B9CC" w:rsidR="005B5AF1" w:rsidRPr="00B85287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</w:tcPr>
          <w:p w14:paraId="0295C11C" w14:textId="6E1FAD4F" w:rsidR="005B5AF1" w:rsidRPr="00B85287" w:rsidRDefault="005B5AF1" w:rsidP="005B5AF1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4000D" w:rsidRPr="00B85287" w14:paraId="5892CA93" w14:textId="77777777" w:rsidTr="00B85287">
        <w:tc>
          <w:tcPr>
            <w:tcW w:w="884" w:type="dxa"/>
            <w:vAlign w:val="center"/>
          </w:tcPr>
          <w:p w14:paraId="07BA23BC" w14:textId="67250B44" w:rsidR="0094000D" w:rsidRPr="00B85287" w:rsidRDefault="00976671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11</w:t>
            </w:r>
            <w:r w:rsidR="005B5AF1"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0AF99DAB" w14:textId="3620E917" w:rsidR="0094000D" w:rsidRPr="00B85287" w:rsidRDefault="0094000D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Program održavanja komunalne infrastrukture </w:t>
            </w:r>
            <w:r w:rsidR="005B5AF1">
              <w:rPr>
                <w:rFonts w:ascii="Garamond" w:hAnsi="Garamond"/>
                <w:b/>
                <w:bCs/>
                <w:sz w:val="21"/>
                <w:szCs w:val="21"/>
              </w:rPr>
              <w:t xml:space="preserve">na području Općine Punat 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u 202</w:t>
            </w:r>
            <w:r w:rsidR="005B5AF1">
              <w:rPr>
                <w:rFonts w:ascii="Garamond" w:hAnsi="Garamond"/>
                <w:b/>
                <w:bCs/>
                <w:sz w:val="21"/>
                <w:szCs w:val="21"/>
              </w:rPr>
              <w:t>6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  <w:vAlign w:val="center"/>
          </w:tcPr>
          <w:p w14:paraId="2D2181AB" w14:textId="77777777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25226FB5" w14:textId="797843C6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35242A47" w14:textId="633096D8" w:rsidR="0094000D" w:rsidRPr="00B85287" w:rsidRDefault="0094000D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9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4776B01F" w14:textId="19277C62" w:rsidR="0094000D" w:rsidRPr="00B85287" w:rsidRDefault="0094000D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2F4F764C" w14:textId="0114B395" w:rsidR="0094000D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  <w:vAlign w:val="center"/>
          </w:tcPr>
          <w:p w14:paraId="1679FDB4" w14:textId="69D4D0E9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6106AFCA" w14:textId="3A403106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4000D" w:rsidRPr="00B85287" w14:paraId="23220D4A" w14:textId="77777777" w:rsidTr="00B85287">
        <w:tc>
          <w:tcPr>
            <w:tcW w:w="884" w:type="dxa"/>
            <w:vAlign w:val="center"/>
          </w:tcPr>
          <w:p w14:paraId="4D9673CE" w14:textId="25849F7A" w:rsidR="0094000D" w:rsidRPr="00B85287" w:rsidRDefault="00976671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12</w:t>
            </w:r>
            <w:r w:rsidR="005B5AF1"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1FE57A22" w14:textId="377D884D" w:rsidR="0094000D" w:rsidRPr="00B85287" w:rsidRDefault="0094000D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 xml:space="preserve">Program građenja komunalne infrastrukture </w:t>
            </w:r>
            <w:r w:rsidR="005B5AF1">
              <w:rPr>
                <w:rFonts w:ascii="Garamond" w:hAnsi="Garamond"/>
                <w:b/>
                <w:bCs/>
                <w:sz w:val="21"/>
                <w:szCs w:val="21"/>
              </w:rPr>
              <w:t xml:space="preserve">na području Općine Punat 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u 202</w:t>
            </w:r>
            <w:r w:rsidR="005B5AF1">
              <w:rPr>
                <w:rFonts w:ascii="Garamond" w:hAnsi="Garamond"/>
                <w:b/>
                <w:bCs/>
                <w:sz w:val="21"/>
                <w:szCs w:val="21"/>
              </w:rPr>
              <w:t>6</w:t>
            </w:r>
            <w:r w:rsidRPr="0094000D">
              <w:rPr>
                <w:rFonts w:ascii="Garamond" w:hAnsi="Garamond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2267" w:type="dxa"/>
            <w:vAlign w:val="center"/>
          </w:tcPr>
          <w:p w14:paraId="15CD0E26" w14:textId="77777777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418B2B17" w14:textId="76A48E29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1300E8CD" w14:textId="5A17C13F" w:rsidR="0094000D" w:rsidRPr="00B85287" w:rsidRDefault="0094000D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0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24EFB2FA" w14:textId="1ADB8B8D" w:rsidR="0094000D" w:rsidRPr="00B85287" w:rsidRDefault="0094000D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1AB1E4A2" w14:textId="79A7237F" w:rsidR="0094000D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  <w:vAlign w:val="center"/>
          </w:tcPr>
          <w:p w14:paraId="359CDD17" w14:textId="245F6A5D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5DDA84B5" w14:textId="4BA589F2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4000D" w:rsidRPr="00B85287" w14:paraId="28F744D1" w14:textId="77777777" w:rsidTr="00B85287">
        <w:tc>
          <w:tcPr>
            <w:tcW w:w="884" w:type="dxa"/>
            <w:vAlign w:val="center"/>
          </w:tcPr>
          <w:p w14:paraId="05A25518" w14:textId="4C187509" w:rsidR="0094000D" w:rsidRPr="00B85287" w:rsidRDefault="005B5AF1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lastRenderedPageBreak/>
              <w:t>1</w:t>
            </w:r>
            <w:r w:rsidR="001A7F2C">
              <w:rPr>
                <w:rFonts w:ascii="Garamond" w:hAnsi="Garamond" w:cs="Arial"/>
                <w:b/>
                <w:sz w:val="21"/>
                <w:szCs w:val="21"/>
              </w:rPr>
              <w:t>3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3FA729F9" w14:textId="1E51D28D" w:rsidR="0094000D" w:rsidRPr="00B85287" w:rsidRDefault="005B5AF1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Odluka o privremenoj zabrani</w:t>
            </w:r>
            <w:r w:rsidR="003F6542">
              <w:rPr>
                <w:rFonts w:ascii="Garamond" w:hAnsi="Garamond"/>
                <w:b/>
                <w:bCs/>
                <w:sz w:val="21"/>
                <w:szCs w:val="21"/>
              </w:rPr>
              <w:t xml:space="preserve"> izvođenja radova u 2026. godini</w:t>
            </w:r>
          </w:p>
        </w:tc>
        <w:tc>
          <w:tcPr>
            <w:tcW w:w="2267" w:type="dxa"/>
            <w:vAlign w:val="center"/>
          </w:tcPr>
          <w:p w14:paraId="41FC81A1" w14:textId="77777777" w:rsidR="003F6542" w:rsidRPr="003F6542" w:rsidRDefault="003F6542" w:rsidP="003F6542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3F6542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0B020E67" w14:textId="0F05C31A" w:rsidR="0094000D" w:rsidRPr="00B85287" w:rsidRDefault="003F6542" w:rsidP="003F6542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3F6542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68EF29D5" w14:textId="5C5D737D" w:rsidR="0094000D" w:rsidRPr="00B85287" w:rsidRDefault="0094000D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1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3A24B4DC" w14:textId="191018AB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2D3B25A7" w14:textId="1C09BF57" w:rsidR="0094000D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  <w:vAlign w:val="center"/>
          </w:tcPr>
          <w:p w14:paraId="51204751" w14:textId="7B8044F4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5E5CCB7C" w14:textId="28A9EFCB" w:rsidR="0094000D" w:rsidRPr="00B85287" w:rsidRDefault="005B5AF1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1A7F2C" w:rsidRPr="00B85287" w14:paraId="7F289515" w14:textId="77777777" w:rsidTr="00B85287">
        <w:tc>
          <w:tcPr>
            <w:tcW w:w="884" w:type="dxa"/>
            <w:vAlign w:val="center"/>
          </w:tcPr>
          <w:p w14:paraId="4AF116F2" w14:textId="09840CEF" w:rsidR="001A7F2C" w:rsidRDefault="001A7F2C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14.</w:t>
            </w:r>
          </w:p>
        </w:tc>
        <w:tc>
          <w:tcPr>
            <w:tcW w:w="2267" w:type="dxa"/>
            <w:vAlign w:val="center"/>
          </w:tcPr>
          <w:p w14:paraId="1E0A1AEE" w14:textId="7B5619A1" w:rsidR="001A7F2C" w:rsidRDefault="001A7F2C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 xml:space="preserve">Evidencija komunalne infrastrukture </w:t>
            </w:r>
          </w:p>
        </w:tc>
        <w:tc>
          <w:tcPr>
            <w:tcW w:w="2267" w:type="dxa"/>
            <w:vAlign w:val="center"/>
          </w:tcPr>
          <w:p w14:paraId="5FCFCFC0" w14:textId="77777777" w:rsidR="001A7F2C" w:rsidRPr="00B85287" w:rsidRDefault="001A7F2C" w:rsidP="001A7F2C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04B7EE36" w14:textId="4261E40C" w:rsidR="001A7F2C" w:rsidRPr="003F6542" w:rsidRDefault="001A7F2C" w:rsidP="001A7F2C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1F3A479D" w14:textId="6825E182" w:rsidR="001A7F2C" w:rsidRPr="00B85287" w:rsidRDefault="001A7F2C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2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19DA1C24" w14:textId="4AB90221" w:rsidR="001A7F2C" w:rsidRPr="00B85287" w:rsidRDefault="001A7F2C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5F765D34" w14:textId="2E2F83BC" w:rsidR="001A7F2C" w:rsidRPr="0094000D" w:rsidRDefault="001A7F2C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94000D">
              <w:rPr>
                <w:rFonts w:ascii="Garamond" w:hAnsi="Garamond" w:cs="Arial"/>
                <w:sz w:val="21"/>
                <w:szCs w:val="21"/>
              </w:rPr>
              <w:t>2. polugodište 202</w:t>
            </w:r>
            <w:r>
              <w:rPr>
                <w:rFonts w:ascii="Garamond" w:hAnsi="Garamond" w:cs="Arial"/>
                <w:sz w:val="21"/>
                <w:szCs w:val="21"/>
              </w:rPr>
              <w:t>5</w:t>
            </w:r>
            <w:r w:rsidRPr="0094000D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  <w:vAlign w:val="center"/>
          </w:tcPr>
          <w:p w14:paraId="5AE282B5" w14:textId="6515846A" w:rsidR="001A7F2C" w:rsidRPr="00B85287" w:rsidRDefault="001A7F2C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3EBD4C65" w14:textId="6EFAD276" w:rsidR="001A7F2C" w:rsidRPr="00B85287" w:rsidRDefault="001A7F2C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94000D" w:rsidRPr="00B85287" w14:paraId="7DD2442B" w14:textId="77777777" w:rsidTr="00B85287">
        <w:tc>
          <w:tcPr>
            <w:tcW w:w="884" w:type="dxa"/>
            <w:vAlign w:val="center"/>
          </w:tcPr>
          <w:p w14:paraId="56D99FD8" w14:textId="18050538" w:rsidR="0094000D" w:rsidRPr="00B85287" w:rsidRDefault="003F6542" w:rsidP="0094000D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</w:t>
            </w:r>
            <w:r w:rsidR="001A7F2C">
              <w:rPr>
                <w:rFonts w:ascii="Garamond" w:hAnsi="Garamond" w:cs="Arial"/>
                <w:b/>
                <w:sz w:val="21"/>
                <w:szCs w:val="21"/>
              </w:rPr>
              <w:t>5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75D61155" w14:textId="78B4AF6A" w:rsidR="0094000D" w:rsidRPr="00B85287" w:rsidRDefault="0094000D" w:rsidP="0094000D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Odluka o nerazvrstanim cestama</w:t>
            </w:r>
          </w:p>
        </w:tc>
        <w:tc>
          <w:tcPr>
            <w:tcW w:w="2267" w:type="dxa"/>
            <w:vAlign w:val="center"/>
          </w:tcPr>
          <w:p w14:paraId="46BA70C4" w14:textId="77777777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3063F15A" w14:textId="7984E165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052ECCC3" w14:textId="79C7E9DB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3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6F71F7C1" w14:textId="056374AB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023A99AF" w14:textId="12FAB157" w:rsidR="0094000D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2</w:t>
            </w:r>
            <w:r w:rsidRPr="00B85287">
              <w:rPr>
                <w:rFonts w:ascii="Garamond" w:hAnsi="Garamond" w:cs="Arial"/>
                <w:sz w:val="21"/>
                <w:szCs w:val="21"/>
              </w:rPr>
              <w:t>. polugodište 202</w:t>
            </w:r>
            <w:r w:rsidR="003F6542">
              <w:rPr>
                <w:rFonts w:ascii="Garamond" w:hAnsi="Garamond" w:cs="Arial"/>
                <w:sz w:val="21"/>
                <w:szCs w:val="21"/>
              </w:rPr>
              <w:t>5</w:t>
            </w:r>
            <w:r w:rsidRPr="00B85287">
              <w:rPr>
                <w:rFonts w:ascii="Garamond" w:hAnsi="Garamond" w:cs="Arial"/>
                <w:sz w:val="21"/>
                <w:szCs w:val="21"/>
              </w:rPr>
              <w:t>. godine</w:t>
            </w:r>
          </w:p>
        </w:tc>
        <w:tc>
          <w:tcPr>
            <w:tcW w:w="3137" w:type="dxa"/>
            <w:vAlign w:val="center"/>
          </w:tcPr>
          <w:p w14:paraId="1D2677B6" w14:textId="5A670DE9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67CB503E" w14:textId="3E8D899F" w:rsidR="0094000D" w:rsidRPr="00B85287" w:rsidRDefault="0094000D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5077E8" w:rsidRPr="00B85287" w14:paraId="27049233" w14:textId="77777777" w:rsidTr="00B85287">
        <w:tc>
          <w:tcPr>
            <w:tcW w:w="884" w:type="dxa"/>
            <w:vAlign w:val="center"/>
          </w:tcPr>
          <w:p w14:paraId="2AEE93CA" w14:textId="5E859619" w:rsidR="005077E8" w:rsidRDefault="005077E8" w:rsidP="0094000D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</w:t>
            </w:r>
            <w:r w:rsidR="001A7F2C">
              <w:rPr>
                <w:rFonts w:ascii="Garamond" w:hAnsi="Garamond" w:cs="Arial"/>
                <w:b/>
                <w:sz w:val="21"/>
                <w:szCs w:val="21"/>
              </w:rPr>
              <w:t>6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1DA87B49" w14:textId="1E2834FB" w:rsidR="005077E8" w:rsidRPr="00B85287" w:rsidRDefault="005077E8" w:rsidP="0094000D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Registar nerazvrstanih cesta</w:t>
            </w:r>
          </w:p>
        </w:tc>
        <w:tc>
          <w:tcPr>
            <w:tcW w:w="2267" w:type="dxa"/>
            <w:vAlign w:val="center"/>
          </w:tcPr>
          <w:p w14:paraId="0B0BA69A" w14:textId="77777777" w:rsidR="005077E8" w:rsidRPr="005077E8" w:rsidRDefault="005077E8" w:rsidP="005077E8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638E5D42" w14:textId="590329F3" w:rsidR="005077E8" w:rsidRPr="00B85287" w:rsidRDefault="005077E8" w:rsidP="005077E8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679CA097" w14:textId="63650555" w:rsidR="005077E8" w:rsidRPr="00B85287" w:rsidRDefault="005077E8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4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7EC9A51B" w14:textId="062769A1" w:rsidR="005077E8" w:rsidRPr="00B85287" w:rsidRDefault="005077E8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18CFFE5D" w14:textId="78D978F5" w:rsidR="005077E8" w:rsidRDefault="005077E8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2. polugodište 2025. godine</w:t>
            </w:r>
          </w:p>
        </w:tc>
        <w:tc>
          <w:tcPr>
            <w:tcW w:w="3137" w:type="dxa"/>
            <w:vAlign w:val="center"/>
          </w:tcPr>
          <w:p w14:paraId="7E5DEB81" w14:textId="3A7565B5" w:rsidR="005077E8" w:rsidRPr="00B85287" w:rsidRDefault="005077E8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7420BD21" w14:textId="4BBC11FA" w:rsidR="005077E8" w:rsidRPr="00B85287" w:rsidRDefault="005077E8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DF3D29" w:rsidRPr="00B85287" w14:paraId="48EAB6B5" w14:textId="77777777" w:rsidTr="00B85287">
        <w:tc>
          <w:tcPr>
            <w:tcW w:w="884" w:type="dxa"/>
            <w:vAlign w:val="center"/>
          </w:tcPr>
          <w:p w14:paraId="50522BB8" w14:textId="29DAD137" w:rsidR="00DF3D29" w:rsidRDefault="00DF3D29" w:rsidP="0094000D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</w:t>
            </w:r>
            <w:r w:rsidR="001A7F2C">
              <w:rPr>
                <w:rFonts w:ascii="Garamond" w:hAnsi="Garamond" w:cs="Arial"/>
                <w:b/>
                <w:sz w:val="21"/>
                <w:szCs w:val="21"/>
              </w:rPr>
              <w:t>7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2267" w:type="dxa"/>
            <w:vAlign w:val="center"/>
          </w:tcPr>
          <w:p w14:paraId="7B640BE7" w14:textId="2DF4994A" w:rsidR="00DF3D29" w:rsidRDefault="00DF3D29" w:rsidP="0094000D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I</w:t>
            </w:r>
            <w:r w:rsidRPr="00DF3D29">
              <w:rPr>
                <w:rFonts w:ascii="Garamond" w:hAnsi="Garamond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I</w:t>
            </w:r>
            <w:r w:rsidRPr="00DF3D29">
              <w:rPr>
                <w:rFonts w:ascii="Garamond" w:hAnsi="Garamond"/>
                <w:b/>
                <w:bCs/>
                <w:sz w:val="21"/>
                <w:szCs w:val="21"/>
              </w:rPr>
              <w:t xml:space="preserve">zmjena i dopuna plana upravljanja pomorskim dobrom na području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O</w:t>
            </w:r>
            <w:r w:rsidRPr="00DF3D29">
              <w:rPr>
                <w:rFonts w:ascii="Garamond" w:hAnsi="Garamond"/>
                <w:b/>
                <w:bCs/>
                <w:sz w:val="21"/>
                <w:szCs w:val="21"/>
              </w:rPr>
              <w:t xml:space="preserve">pćine 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P</w:t>
            </w:r>
            <w:r w:rsidRPr="00DF3D29">
              <w:rPr>
                <w:rFonts w:ascii="Garamond" w:hAnsi="Garamond"/>
                <w:b/>
                <w:bCs/>
                <w:sz w:val="21"/>
                <w:szCs w:val="21"/>
              </w:rPr>
              <w:t>unat za razdoblje 2024. – 2028. godine</w:t>
            </w:r>
          </w:p>
        </w:tc>
        <w:tc>
          <w:tcPr>
            <w:tcW w:w="2267" w:type="dxa"/>
            <w:vAlign w:val="center"/>
          </w:tcPr>
          <w:p w14:paraId="753313D0" w14:textId="77777777" w:rsidR="00DF3D29" w:rsidRPr="005077E8" w:rsidRDefault="00DF3D29" w:rsidP="00DF3D29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4829A9DC" w14:textId="438C03EE" w:rsidR="00DF3D29" w:rsidRPr="005077E8" w:rsidRDefault="00DF3D29" w:rsidP="00DF3D29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01662A07" w14:textId="1F5F1B2C" w:rsidR="00DF3D29" w:rsidRPr="00B85287" w:rsidRDefault="00DF3D29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25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4766FE7F" w14:textId="19EDC1B6" w:rsidR="00DF3D29" w:rsidRDefault="00DF3D29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553E3191" w14:textId="36709E0C" w:rsidR="00DF3D29" w:rsidRPr="005077E8" w:rsidRDefault="00DF3D29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2. polugodište 2025. godine</w:t>
            </w:r>
          </w:p>
        </w:tc>
        <w:tc>
          <w:tcPr>
            <w:tcW w:w="3137" w:type="dxa"/>
            <w:vAlign w:val="center"/>
          </w:tcPr>
          <w:p w14:paraId="4E006E67" w14:textId="556315ED" w:rsidR="00DF3D29" w:rsidRPr="005077E8" w:rsidRDefault="00DF3D29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01984063" w14:textId="3BE8E057" w:rsidR="00DF3D29" w:rsidRPr="005077E8" w:rsidRDefault="00DF3D29" w:rsidP="0094000D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5077E8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bookmarkEnd w:id="1"/>
    </w:tbl>
    <w:p w14:paraId="28C8DD96" w14:textId="77777777" w:rsidR="005C7747" w:rsidRDefault="005C7747" w:rsidP="005513ED">
      <w:pPr>
        <w:shd w:val="clear" w:color="auto" w:fill="FFFFFF"/>
        <w:ind w:left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sectPr w:rsidR="005C7747" w:rsidSect="005C7747">
      <w:headerReference w:type="default" r:id="rId26"/>
      <w:pgSz w:w="16838" w:h="11906" w:orient="landscape"/>
      <w:pgMar w:top="42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A0A0" w14:textId="77777777" w:rsidR="00AA09D3" w:rsidRDefault="00AA09D3">
      <w:r>
        <w:separator/>
      </w:r>
    </w:p>
  </w:endnote>
  <w:endnote w:type="continuationSeparator" w:id="0">
    <w:p w14:paraId="308A23E3" w14:textId="77777777" w:rsidR="00AA09D3" w:rsidRDefault="00A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0253B" w14:textId="77777777" w:rsidR="00AA09D3" w:rsidRDefault="00AA09D3">
      <w:r>
        <w:separator/>
      </w:r>
    </w:p>
  </w:footnote>
  <w:footnote w:type="continuationSeparator" w:id="0">
    <w:p w14:paraId="1EFA4BC3" w14:textId="77777777" w:rsidR="00AA09D3" w:rsidRDefault="00AA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B97F" w14:textId="77777777" w:rsidR="00352597" w:rsidRDefault="00352597" w:rsidP="00A3422B">
    <w:pPr>
      <w:pStyle w:val="Zaglavlj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5227">
    <w:abstractNumId w:val="2"/>
  </w:num>
  <w:num w:numId="2" w16cid:durableId="697314020">
    <w:abstractNumId w:val="1"/>
  </w:num>
  <w:num w:numId="3" w16cid:durableId="1474954528">
    <w:abstractNumId w:val="0"/>
  </w:num>
  <w:num w:numId="4" w16cid:durableId="1098404558">
    <w:abstractNumId w:val="3"/>
  </w:num>
  <w:num w:numId="5" w16cid:durableId="467550357">
    <w:abstractNumId w:val="4"/>
  </w:num>
  <w:num w:numId="6" w16cid:durableId="46270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E"/>
    <w:rsid w:val="0003017B"/>
    <w:rsid w:val="0003204C"/>
    <w:rsid w:val="000546CA"/>
    <w:rsid w:val="00087F38"/>
    <w:rsid w:val="000A37E3"/>
    <w:rsid w:val="000A5818"/>
    <w:rsid w:val="000B5291"/>
    <w:rsid w:val="000E7B16"/>
    <w:rsid w:val="0010378C"/>
    <w:rsid w:val="00126B1A"/>
    <w:rsid w:val="001673CE"/>
    <w:rsid w:val="0018505D"/>
    <w:rsid w:val="0018612C"/>
    <w:rsid w:val="00187CDF"/>
    <w:rsid w:val="00192A6D"/>
    <w:rsid w:val="001A09F6"/>
    <w:rsid w:val="001A7F2C"/>
    <w:rsid w:val="001C44B1"/>
    <w:rsid w:val="001D2FD7"/>
    <w:rsid w:val="001D4EDE"/>
    <w:rsid w:val="001D7D99"/>
    <w:rsid w:val="001E1477"/>
    <w:rsid w:val="001E3181"/>
    <w:rsid w:val="001F20C3"/>
    <w:rsid w:val="00207617"/>
    <w:rsid w:val="002169B0"/>
    <w:rsid w:val="00221AED"/>
    <w:rsid w:val="00227357"/>
    <w:rsid w:val="002337B1"/>
    <w:rsid w:val="002360BF"/>
    <w:rsid w:val="00241F35"/>
    <w:rsid w:val="00243BA1"/>
    <w:rsid w:val="0027161C"/>
    <w:rsid w:val="00271FCB"/>
    <w:rsid w:val="00295C50"/>
    <w:rsid w:val="00296030"/>
    <w:rsid w:val="002A7F3E"/>
    <w:rsid w:val="002B33FA"/>
    <w:rsid w:val="002D683E"/>
    <w:rsid w:val="002E3D48"/>
    <w:rsid w:val="002F2073"/>
    <w:rsid w:val="002F3E9F"/>
    <w:rsid w:val="002F3EAC"/>
    <w:rsid w:val="002F5883"/>
    <w:rsid w:val="00312B5C"/>
    <w:rsid w:val="00314BA4"/>
    <w:rsid w:val="003517E6"/>
    <w:rsid w:val="00352597"/>
    <w:rsid w:val="00370C76"/>
    <w:rsid w:val="00387E72"/>
    <w:rsid w:val="003B1393"/>
    <w:rsid w:val="003B408B"/>
    <w:rsid w:val="003E7B32"/>
    <w:rsid w:val="003F6542"/>
    <w:rsid w:val="003F752E"/>
    <w:rsid w:val="004125A0"/>
    <w:rsid w:val="004167A5"/>
    <w:rsid w:val="00425036"/>
    <w:rsid w:val="00431EC4"/>
    <w:rsid w:val="00453830"/>
    <w:rsid w:val="0046346C"/>
    <w:rsid w:val="00466F69"/>
    <w:rsid w:val="00495989"/>
    <w:rsid w:val="004B585A"/>
    <w:rsid w:val="004B58BB"/>
    <w:rsid w:val="004C541C"/>
    <w:rsid w:val="004D090C"/>
    <w:rsid w:val="004F0B40"/>
    <w:rsid w:val="004F63C9"/>
    <w:rsid w:val="0050736D"/>
    <w:rsid w:val="005077E8"/>
    <w:rsid w:val="005112D7"/>
    <w:rsid w:val="0052759C"/>
    <w:rsid w:val="00536E33"/>
    <w:rsid w:val="005379A7"/>
    <w:rsid w:val="005513ED"/>
    <w:rsid w:val="00554EE7"/>
    <w:rsid w:val="00556630"/>
    <w:rsid w:val="00557AF7"/>
    <w:rsid w:val="00566792"/>
    <w:rsid w:val="00567C75"/>
    <w:rsid w:val="0059617D"/>
    <w:rsid w:val="005B5AF1"/>
    <w:rsid w:val="005B65FA"/>
    <w:rsid w:val="005C7747"/>
    <w:rsid w:val="005E22D4"/>
    <w:rsid w:val="005F797A"/>
    <w:rsid w:val="006047A2"/>
    <w:rsid w:val="00604F78"/>
    <w:rsid w:val="00605CB2"/>
    <w:rsid w:val="00606B3E"/>
    <w:rsid w:val="006405B9"/>
    <w:rsid w:val="00655592"/>
    <w:rsid w:val="0065576B"/>
    <w:rsid w:val="0067493C"/>
    <w:rsid w:val="00687C9F"/>
    <w:rsid w:val="006952D5"/>
    <w:rsid w:val="006B5D18"/>
    <w:rsid w:val="006D6DD4"/>
    <w:rsid w:val="006E09C3"/>
    <w:rsid w:val="006F313B"/>
    <w:rsid w:val="00731A9A"/>
    <w:rsid w:val="007338C6"/>
    <w:rsid w:val="00742150"/>
    <w:rsid w:val="00743C83"/>
    <w:rsid w:val="00751630"/>
    <w:rsid w:val="007605E1"/>
    <w:rsid w:val="00774B0B"/>
    <w:rsid w:val="007756ED"/>
    <w:rsid w:val="00777CDD"/>
    <w:rsid w:val="00784D15"/>
    <w:rsid w:val="00786BD1"/>
    <w:rsid w:val="007B401A"/>
    <w:rsid w:val="007F6B6E"/>
    <w:rsid w:val="00826A34"/>
    <w:rsid w:val="00845221"/>
    <w:rsid w:val="00854DF9"/>
    <w:rsid w:val="0087268B"/>
    <w:rsid w:val="008773EA"/>
    <w:rsid w:val="00885467"/>
    <w:rsid w:val="008A737F"/>
    <w:rsid w:val="008B2A37"/>
    <w:rsid w:val="008C0B75"/>
    <w:rsid w:val="008C19C8"/>
    <w:rsid w:val="00901635"/>
    <w:rsid w:val="009069D7"/>
    <w:rsid w:val="0090744E"/>
    <w:rsid w:val="009347AE"/>
    <w:rsid w:val="0094000D"/>
    <w:rsid w:val="009432D2"/>
    <w:rsid w:val="00953A1E"/>
    <w:rsid w:val="00976671"/>
    <w:rsid w:val="00990709"/>
    <w:rsid w:val="009941DE"/>
    <w:rsid w:val="009A030B"/>
    <w:rsid w:val="009A7A87"/>
    <w:rsid w:val="009B6DFF"/>
    <w:rsid w:val="009C286C"/>
    <w:rsid w:val="009D7F72"/>
    <w:rsid w:val="009E142B"/>
    <w:rsid w:val="009E1DAD"/>
    <w:rsid w:val="009F2F43"/>
    <w:rsid w:val="00A3243F"/>
    <w:rsid w:val="00A52857"/>
    <w:rsid w:val="00A73C45"/>
    <w:rsid w:val="00A76FDB"/>
    <w:rsid w:val="00A77DF2"/>
    <w:rsid w:val="00A8076F"/>
    <w:rsid w:val="00A82E96"/>
    <w:rsid w:val="00A93F8F"/>
    <w:rsid w:val="00AA09D3"/>
    <w:rsid w:val="00AA2C62"/>
    <w:rsid w:val="00AE6621"/>
    <w:rsid w:val="00AE775D"/>
    <w:rsid w:val="00B043DF"/>
    <w:rsid w:val="00B07785"/>
    <w:rsid w:val="00B152F8"/>
    <w:rsid w:val="00B23FC7"/>
    <w:rsid w:val="00B32BD7"/>
    <w:rsid w:val="00B3701E"/>
    <w:rsid w:val="00B41A81"/>
    <w:rsid w:val="00B449C9"/>
    <w:rsid w:val="00B4799E"/>
    <w:rsid w:val="00B64B32"/>
    <w:rsid w:val="00B75C8F"/>
    <w:rsid w:val="00B85287"/>
    <w:rsid w:val="00B87D71"/>
    <w:rsid w:val="00BA134B"/>
    <w:rsid w:val="00BA696D"/>
    <w:rsid w:val="00BC153C"/>
    <w:rsid w:val="00BC683B"/>
    <w:rsid w:val="00BE62FB"/>
    <w:rsid w:val="00C17261"/>
    <w:rsid w:val="00C20BBC"/>
    <w:rsid w:val="00C3451C"/>
    <w:rsid w:val="00C34C83"/>
    <w:rsid w:val="00C524DC"/>
    <w:rsid w:val="00C535D7"/>
    <w:rsid w:val="00C66A08"/>
    <w:rsid w:val="00C8668E"/>
    <w:rsid w:val="00C92FEC"/>
    <w:rsid w:val="00CA38A1"/>
    <w:rsid w:val="00CC06B7"/>
    <w:rsid w:val="00CC72A6"/>
    <w:rsid w:val="00CF1540"/>
    <w:rsid w:val="00CF65BF"/>
    <w:rsid w:val="00D10F07"/>
    <w:rsid w:val="00D14B86"/>
    <w:rsid w:val="00D37AD3"/>
    <w:rsid w:val="00D75FD3"/>
    <w:rsid w:val="00D941CF"/>
    <w:rsid w:val="00DA2FAE"/>
    <w:rsid w:val="00DB4CD8"/>
    <w:rsid w:val="00DB57B5"/>
    <w:rsid w:val="00DB5B88"/>
    <w:rsid w:val="00DD2AC2"/>
    <w:rsid w:val="00DF1601"/>
    <w:rsid w:val="00DF3D29"/>
    <w:rsid w:val="00DF6793"/>
    <w:rsid w:val="00E14935"/>
    <w:rsid w:val="00E24636"/>
    <w:rsid w:val="00E374BF"/>
    <w:rsid w:val="00E445A4"/>
    <w:rsid w:val="00E51235"/>
    <w:rsid w:val="00E57B7A"/>
    <w:rsid w:val="00E82D6E"/>
    <w:rsid w:val="00EA2E56"/>
    <w:rsid w:val="00EB6962"/>
    <w:rsid w:val="00EE4F6F"/>
    <w:rsid w:val="00EE5555"/>
    <w:rsid w:val="00F05067"/>
    <w:rsid w:val="00F168F9"/>
    <w:rsid w:val="00F20B7F"/>
    <w:rsid w:val="00F50E9A"/>
    <w:rsid w:val="00F565F4"/>
    <w:rsid w:val="00F751BF"/>
    <w:rsid w:val="00F86ED9"/>
    <w:rsid w:val="00F8718A"/>
    <w:rsid w:val="00FB1D7D"/>
    <w:rsid w:val="00FB31FC"/>
    <w:rsid w:val="00FD3BF3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581"/>
  <w15:chartTrackingRefBased/>
  <w15:docId w15:val="{1D8E53B0-3EDE-4435-9D7C-4B714E5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7F3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7F3E"/>
    <w:rPr>
      <w:lang w:val="hr-HR"/>
    </w:rPr>
  </w:style>
  <w:style w:type="paragraph" w:styleId="Odlomakpopisa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18" Type="http://schemas.openxmlformats.org/officeDocument/2006/relationships/hyperlink" Target="http://www.punat.h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punat.h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unat.hr" TargetMode="External"/><Relationship Id="rId17" Type="http://schemas.openxmlformats.org/officeDocument/2006/relationships/hyperlink" Target="http://www.punat.hr" TargetMode="External"/><Relationship Id="rId25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nat.hr" TargetMode="External"/><Relationship Id="rId20" Type="http://schemas.openxmlformats.org/officeDocument/2006/relationships/hyperlink" Target="http://www.punat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24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nat.hr" TargetMode="External"/><Relationship Id="rId23" Type="http://schemas.openxmlformats.org/officeDocument/2006/relationships/hyperlink" Target="http://www.punat.h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unat.hr" TargetMode="External"/><Relationship Id="rId19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Relationship Id="rId22" Type="http://schemas.openxmlformats.org/officeDocument/2006/relationships/hyperlink" Target="http://www.punat.h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6</cp:revision>
  <cp:lastPrinted>2025-01-31T11:39:00Z</cp:lastPrinted>
  <dcterms:created xsi:type="dcterms:W3CDTF">2025-02-03T12:58:00Z</dcterms:created>
  <dcterms:modified xsi:type="dcterms:W3CDTF">2025-02-06T11:34:00Z</dcterms:modified>
</cp:coreProperties>
</file>