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070E7A">
        <w:trPr>
          <w:trHeight w:hRule="exact" w:val="954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028B4502" w14:textId="7AE99828" w:rsidR="00070E7A" w:rsidRPr="00070E7A" w:rsidRDefault="0018120A" w:rsidP="00070E7A">
            <w:pPr>
              <w:overflowPunct w:val="0"/>
              <w:autoSpaceDE w:val="0"/>
              <w:spacing w:after="0" w:line="240" w:lineRule="auto"/>
              <w:ind w:left="-284" w:right="-46" w:firstLine="567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070E7A">
              <w:rPr>
                <w:rFonts w:ascii="Garamond" w:hAnsi="Garamond"/>
                <w:b/>
                <w:bCs/>
              </w:rPr>
              <w:t xml:space="preserve"> </w:t>
            </w: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1F49D6">
              <w:rPr>
                <w:rFonts w:ascii="Garamond" w:hAnsi="Garamond" w:cs="Times New Roman"/>
              </w:rPr>
              <w:t xml:space="preserve"> </w:t>
            </w:r>
            <w:r w:rsidR="00070E7A" w:rsidRPr="00070E7A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visini paušalnog poreza na dohodak za djelatnosti iznajmljivanja i smještaja u turizmu</w:t>
            </w:r>
          </w:p>
          <w:p w14:paraId="6BE3DC9C" w14:textId="33E301FE" w:rsidR="009D188E" w:rsidRPr="001F49D6" w:rsidRDefault="009D188E" w:rsidP="009D188E">
            <w:pPr>
              <w:spacing w:after="0"/>
              <w:rPr>
                <w:rFonts w:ascii="Garamond" w:hAnsi="Garamond" w:cs="Times New Roman"/>
              </w:rPr>
            </w:pPr>
          </w:p>
          <w:p w14:paraId="3CA33CF0" w14:textId="1F933952" w:rsidR="0018120A" w:rsidRPr="001F49D6" w:rsidRDefault="0018120A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070E7A">
        <w:trPr>
          <w:trHeight w:hRule="exact" w:val="9798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D83AFC0" w14:textId="7A4861ED" w:rsidR="00AA3418" w:rsidRPr="00AA3418" w:rsidRDefault="00B819BA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B819BA">
              <w:rPr>
                <w:rFonts w:ascii="Garamond" w:eastAsia="Myriad Pro" w:hAnsi="Garamond" w:cs="Myriad Pro"/>
              </w:rPr>
              <w:t xml:space="preserve">Člankom 42. Zakona o </w:t>
            </w:r>
            <w:r w:rsidR="00AA3418">
              <w:rPr>
                <w:rFonts w:ascii="Garamond" w:eastAsia="Myriad Pro" w:hAnsi="Garamond" w:cs="Myriad Pro"/>
              </w:rPr>
              <w:t xml:space="preserve">porezu na </w:t>
            </w:r>
            <w:r w:rsidR="00AA3418" w:rsidRPr="00AA3418">
              <w:rPr>
                <w:rFonts w:ascii="Garamond" w:eastAsia="Myriad Pro" w:hAnsi="Garamond" w:cs="Myriad Pro"/>
              </w:rPr>
              <w:t>dohodak</w:t>
            </w:r>
            <w:r w:rsidRPr="00AA3418">
              <w:rPr>
                <w:rFonts w:ascii="Garamond" w:eastAsia="Myriad Pro" w:hAnsi="Garamond" w:cs="Myriad Pro"/>
              </w:rPr>
              <w:t xml:space="preserve"> („Narodne novine“ broj </w:t>
            </w:r>
            <w:r w:rsidR="00AA3418" w:rsidRPr="00AA3418">
              <w:rPr>
                <w:rFonts w:ascii="Garamond" w:hAnsi="Garamond"/>
              </w:rPr>
              <w:t>115/16., 106/18., 121/19, 32/20, 138/20, 151/22</w:t>
            </w:r>
            <w:r w:rsidR="00AA3418">
              <w:rPr>
                <w:rFonts w:ascii="Garamond" w:hAnsi="Garamond"/>
              </w:rPr>
              <w:t xml:space="preserve">, </w:t>
            </w:r>
            <w:r w:rsidR="00AA3418" w:rsidRPr="00AA3418">
              <w:rPr>
                <w:rFonts w:ascii="Garamond" w:hAnsi="Garamond"/>
              </w:rPr>
              <w:t>114/23</w:t>
            </w:r>
            <w:r w:rsidR="00AA3418">
              <w:rPr>
                <w:rFonts w:ascii="Garamond" w:hAnsi="Garamond"/>
              </w:rPr>
              <w:t xml:space="preserve"> i 152/24</w:t>
            </w:r>
            <w:r w:rsidR="00AA3418" w:rsidRPr="00AA3418">
              <w:rPr>
                <w:rFonts w:ascii="Garamond" w:hAnsi="Garamond"/>
              </w:rPr>
              <w:t>)</w:t>
            </w:r>
            <w:r w:rsidRPr="00B819BA">
              <w:rPr>
                <w:rFonts w:ascii="Garamond" w:eastAsia="Myriad Pro" w:hAnsi="Garamond" w:cs="Myriad Pro"/>
              </w:rPr>
              <w:t xml:space="preserve"> propisano je da </w:t>
            </w:r>
            <w:r w:rsidR="00AA3418">
              <w:rPr>
                <w:rFonts w:ascii="Garamond" w:eastAsia="Myriad Pro" w:hAnsi="Garamond" w:cs="Myriad Pro"/>
              </w:rPr>
              <w:t xml:space="preserve">je </w:t>
            </w:r>
            <w:r w:rsidR="00AA3418" w:rsidRPr="00AA3418">
              <w:rPr>
                <w:rFonts w:ascii="Garamond" w:eastAsia="Myriad Pro" w:hAnsi="Garamond" w:cs="Myriad Pro"/>
              </w:rPr>
              <w:t>predstavničko tijelo jedinice lokalne samouprave obvezno je donijeti odluku kojom će propisati visine paušalnog poreza po krevetu odnosno po smještajnoj jedinici u kampu odnosno smještajnoj jedinici u objektu za robinzonski smještaj.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      </w:r>
          </w:p>
          <w:p w14:paraId="1FFA2F4B" w14:textId="77777777" w:rsidR="00AA3418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>Kategorija jedinice lokalne samouprave prema indeksu turističke razvijenosti</w:t>
            </w:r>
            <w:r w:rsidRPr="00AA3418">
              <w:rPr>
                <w:rFonts w:ascii="Garamond" w:eastAsia="Myriad Pro" w:hAnsi="Garamond" w:cs="Myriad Pro"/>
              </w:rPr>
              <w:tab/>
              <w:t>Iznos paušalnog poreza u eurima i centima</w:t>
            </w:r>
          </w:p>
          <w:p w14:paraId="5BF52237" w14:textId="77777777" w:rsidR="00AA3418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>I</w:t>
            </w:r>
            <w:r w:rsidRPr="00AA3418">
              <w:rPr>
                <w:rFonts w:ascii="Garamond" w:eastAsia="Myriad Pro" w:hAnsi="Garamond" w:cs="Myriad Pro"/>
              </w:rPr>
              <w:tab/>
              <w:t>100,00 - 300,00</w:t>
            </w:r>
          </w:p>
          <w:p w14:paraId="662E8D3E" w14:textId="77777777" w:rsidR="00AA3418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>II</w:t>
            </w:r>
            <w:r w:rsidRPr="00AA3418">
              <w:rPr>
                <w:rFonts w:ascii="Garamond" w:eastAsia="Myriad Pro" w:hAnsi="Garamond" w:cs="Myriad Pro"/>
              </w:rPr>
              <w:tab/>
              <w:t>70,00 - 200,00</w:t>
            </w:r>
          </w:p>
          <w:p w14:paraId="22ED67A1" w14:textId="77777777" w:rsidR="00AA3418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>III</w:t>
            </w:r>
            <w:r w:rsidRPr="00AA3418">
              <w:rPr>
                <w:rFonts w:ascii="Garamond" w:eastAsia="Myriad Pro" w:hAnsi="Garamond" w:cs="Myriad Pro"/>
              </w:rPr>
              <w:tab/>
              <w:t>30,00 - 150,00</w:t>
            </w:r>
          </w:p>
          <w:p w14:paraId="572790B0" w14:textId="08AD58BE" w:rsidR="00AA3418" w:rsidRPr="001F49D6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>IV,0</w:t>
            </w:r>
            <w:r w:rsidRPr="00AA3418">
              <w:rPr>
                <w:rFonts w:ascii="Garamond" w:eastAsia="Myriad Pro" w:hAnsi="Garamond" w:cs="Myriad Pro"/>
              </w:rPr>
              <w:tab/>
              <w:t>20,00 - 100,00</w:t>
            </w:r>
          </w:p>
          <w:p w14:paraId="1FDDC7F3" w14:textId="690649A8" w:rsidR="00AA3418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 xml:space="preserve">Predstavnička tijela jedinica lokalne samouprave koja su visinu paušalnog poreza po krevetu odnosno po smještajnoj jedinici u kampu odnosno po smještajnoj jedinici za robinzonski smještaj utvrdila odlukom sukladno članku 57. stavku 3. Zakona o porezu na dohodak (»Narodne novine«, br. 115/16., 106/18., 121/19., 32/20., 138/20., 151/22. i 114/23.) dužna su donijeti novu odluku ako je visina paušalnog poreza po krevetu odnosno po smještajnoj jedinici u kampu odnosno po smještajnoj jedinici za robinzonski smještaj izvan granica propisanih </w:t>
            </w:r>
            <w:r>
              <w:rPr>
                <w:rFonts w:ascii="Garamond" w:eastAsia="Myriad Pro" w:hAnsi="Garamond" w:cs="Myriad Pro"/>
              </w:rPr>
              <w:t>ovim</w:t>
            </w:r>
            <w:r w:rsidRPr="00AA3418">
              <w:rPr>
                <w:rFonts w:ascii="Garamond" w:eastAsia="Myriad Pro" w:hAnsi="Garamond" w:cs="Myriad Pro"/>
              </w:rPr>
              <w:t xml:space="preserve"> Zakon</w:t>
            </w:r>
            <w:r>
              <w:rPr>
                <w:rFonts w:ascii="Garamond" w:eastAsia="Myriad Pro" w:hAnsi="Garamond" w:cs="Myriad Pro"/>
              </w:rPr>
              <w:t>om</w:t>
            </w:r>
            <w:r w:rsidRPr="00AA3418">
              <w:rPr>
                <w:rFonts w:ascii="Garamond" w:eastAsia="Myriad Pro" w:hAnsi="Garamond" w:cs="Myriad Pro"/>
              </w:rPr>
              <w:t>.</w:t>
            </w:r>
          </w:p>
          <w:p w14:paraId="04BC935A" w14:textId="58DD34CF" w:rsidR="00AA3418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 xml:space="preserve">Odluku </w:t>
            </w:r>
            <w:r>
              <w:rPr>
                <w:rFonts w:ascii="Garamond" w:eastAsia="Myriad Pro" w:hAnsi="Garamond" w:cs="Myriad Pro"/>
              </w:rPr>
              <w:t xml:space="preserve">su </w:t>
            </w:r>
            <w:r w:rsidRPr="00AA3418">
              <w:rPr>
                <w:rFonts w:ascii="Garamond" w:eastAsia="Myriad Pro" w:hAnsi="Garamond" w:cs="Myriad Pro"/>
              </w:rPr>
              <w:t>predstavnička tijela jedinice lokalne samouprave dužna donijeti te dostaviti Poreznoj upravi najkasnije do 28. veljače 2025.</w:t>
            </w:r>
          </w:p>
          <w:p w14:paraId="41F53763" w14:textId="77777777" w:rsidR="0018120A" w:rsidRP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AA3418">
              <w:rPr>
                <w:rFonts w:ascii="Garamond" w:eastAsia="Myriad Pro" w:hAnsi="Garamond" w:cs="Myriad Pro"/>
              </w:rPr>
              <w:t>Ako predstavničko tijelo jedinice lokalne samouprave ne donese odluku u propisanom roku, visina paušalnog poreza po krevetu odnosno po smještajnoj jedinici u kampu odnosno po smještajnoj jedinici za robinzonski smještaj određuje se u iznosu od 200,00 eura.</w:t>
            </w:r>
          </w:p>
          <w:p w14:paraId="2AF8C84B" w14:textId="1184B608" w:rsidR="00AA3418" w:rsidRDefault="00AA3418" w:rsidP="00AA3418">
            <w:pPr>
              <w:pStyle w:val="box453264"/>
              <w:spacing w:before="0" w:beforeAutospacing="0" w:after="0" w:afterAutospacing="0"/>
              <w:ind w:firstLine="720"/>
              <w:jc w:val="both"/>
              <w:rPr>
                <w:rFonts w:ascii="Garamond" w:hAnsi="Garamond" w:cs="Arial"/>
                <w:sz w:val="22"/>
                <w:szCs w:val="22"/>
                <w:lang w:val="hr-HR"/>
              </w:rPr>
            </w:pPr>
            <w:r w:rsidRPr="00AA3418">
              <w:rPr>
                <w:rFonts w:ascii="Garamond" w:hAnsi="Garamond"/>
                <w:sz w:val="22"/>
                <w:szCs w:val="22"/>
                <w:lang w:val="hr-HR"/>
              </w:rPr>
              <w:t>Do</w:t>
            </w:r>
            <w:r w:rsidRPr="00AA3418">
              <w:rPr>
                <w:rFonts w:ascii="Garamond" w:hAnsi="Garamond"/>
                <w:iCs/>
                <w:sz w:val="22"/>
                <w:szCs w:val="22"/>
                <w:lang w:val="hr-HR"/>
              </w:rPr>
              <w:t xml:space="preserve"> sada važećom Odlukom o visini paušalnog poreza za djelatnosti iznajmljivanja i smještaja u turizmu </w:t>
            </w:r>
            <w:r w:rsidRPr="00AA3418">
              <w:rPr>
                <w:rFonts w:ascii="Garamond" w:hAnsi="Garamond"/>
                <w:sz w:val="22"/>
                <w:szCs w:val="22"/>
                <w:lang w:val="hr-HR"/>
              </w:rPr>
              <w:t>(“</w:t>
            </w:r>
            <w:r w:rsidRPr="00AA3418">
              <w:rPr>
                <w:rFonts w:ascii="Garamond" w:hAnsi="Garamond" w:cs="Arial"/>
                <w:noProof/>
                <w:sz w:val="22"/>
                <w:szCs w:val="22"/>
                <w:lang w:val="hr-HR"/>
              </w:rPr>
              <w:t xml:space="preserve">Službene novine Primorsko-goranske županije“, broj </w:t>
            </w:r>
            <w:r>
              <w:rPr>
                <w:rFonts w:ascii="Garamond" w:hAnsi="Garamond" w:cs="Arial"/>
                <w:noProof/>
                <w:sz w:val="22"/>
                <w:szCs w:val="22"/>
                <w:lang w:val="hr-HR"/>
              </w:rPr>
              <w:t>44/23</w:t>
            </w:r>
            <w:r w:rsidRPr="00AA3418">
              <w:rPr>
                <w:rFonts w:ascii="Garamond" w:hAnsi="Garamond" w:cs="Arial"/>
                <w:noProof/>
                <w:sz w:val="22"/>
                <w:szCs w:val="22"/>
                <w:lang w:val="hr-HR"/>
              </w:rPr>
              <w:t>)</w:t>
            </w:r>
            <w:r w:rsidRPr="00AA3418">
              <w:rPr>
                <w:rFonts w:ascii="Garamond" w:hAnsi="Garamond"/>
                <w:iCs/>
                <w:sz w:val="22"/>
                <w:szCs w:val="22"/>
                <w:lang w:val="hr-HR"/>
              </w:rPr>
              <w:t xml:space="preserve"> visina paušalnog poreza </w:t>
            </w:r>
            <w:r w:rsidRPr="00AA3418">
              <w:rPr>
                <w:rFonts w:ascii="Garamond" w:hAnsi="Garamond" w:cs="Arial"/>
                <w:sz w:val="22"/>
                <w:szCs w:val="22"/>
                <w:lang w:val="hr-HR"/>
              </w:rPr>
              <w:t xml:space="preserve">po krevetu iznosila je </w:t>
            </w:r>
            <w:r>
              <w:rPr>
                <w:rFonts w:ascii="Garamond" w:hAnsi="Garamond" w:cs="Arial"/>
                <w:sz w:val="22"/>
                <w:szCs w:val="22"/>
                <w:lang w:val="hr-HR"/>
              </w:rPr>
              <w:t>40,00 eura</w:t>
            </w:r>
            <w:r w:rsidRPr="00AA3418">
              <w:rPr>
                <w:rFonts w:ascii="Garamond" w:hAnsi="Garamond" w:cs="Arial"/>
                <w:sz w:val="22"/>
                <w:szCs w:val="22"/>
                <w:lang w:val="hr-HR"/>
              </w:rPr>
              <w:t xml:space="preserve"> u naselju Punat, </w:t>
            </w:r>
            <w:r>
              <w:rPr>
                <w:rFonts w:ascii="Garamond" w:hAnsi="Garamond" w:cs="Arial"/>
                <w:sz w:val="22"/>
                <w:szCs w:val="22"/>
                <w:lang w:val="hr-HR"/>
              </w:rPr>
              <w:t>34,00 eura</w:t>
            </w:r>
            <w:r w:rsidRPr="00AA3418">
              <w:rPr>
                <w:rFonts w:ascii="Garamond" w:hAnsi="Garamond" w:cs="Arial"/>
                <w:sz w:val="22"/>
                <w:szCs w:val="22"/>
                <w:lang w:val="hr-HR"/>
              </w:rPr>
              <w:t xml:space="preserve"> u naselju Stara Baška, a po smještajnoj jedinici u kampu i/ili kamp-odmorištu, kao i u smještajnoj jedinici u objektu za robinzonski smještaj u iznosu od </w:t>
            </w:r>
            <w:r>
              <w:rPr>
                <w:rFonts w:ascii="Garamond" w:hAnsi="Garamond" w:cs="Arial"/>
                <w:sz w:val="22"/>
                <w:szCs w:val="22"/>
                <w:lang w:val="hr-HR"/>
              </w:rPr>
              <w:t>46,00 eura</w:t>
            </w:r>
            <w:r w:rsidRPr="00AA3418">
              <w:rPr>
                <w:rFonts w:ascii="Garamond" w:hAnsi="Garamond" w:cs="Arial"/>
                <w:sz w:val="22"/>
                <w:szCs w:val="22"/>
                <w:lang w:val="hr-HR"/>
              </w:rPr>
              <w:t xml:space="preserve"> u naselju Punat i </w:t>
            </w:r>
            <w:r>
              <w:rPr>
                <w:rFonts w:ascii="Garamond" w:hAnsi="Garamond" w:cs="Arial"/>
                <w:sz w:val="22"/>
                <w:szCs w:val="22"/>
                <w:lang w:val="hr-HR"/>
              </w:rPr>
              <w:t>39,00 eura</w:t>
            </w:r>
            <w:r w:rsidRPr="00AA3418">
              <w:rPr>
                <w:rFonts w:ascii="Garamond" w:hAnsi="Garamond" w:cs="Arial"/>
                <w:sz w:val="22"/>
                <w:szCs w:val="22"/>
                <w:lang w:val="hr-HR"/>
              </w:rPr>
              <w:t xml:space="preserve"> u naselju Stara Baška.</w:t>
            </w:r>
          </w:p>
          <w:p w14:paraId="063E855F" w14:textId="1FAFAD9E" w:rsidR="00AA3418" w:rsidRPr="00AA3418" w:rsidRDefault="00AA3418" w:rsidP="00AA3418">
            <w:pPr>
              <w:pStyle w:val="box453264"/>
              <w:spacing w:before="0" w:beforeAutospacing="0" w:after="0" w:afterAutospacing="0"/>
              <w:ind w:firstLine="720"/>
              <w:jc w:val="both"/>
              <w:rPr>
                <w:rFonts w:ascii="Garamond" w:hAnsi="Garamond"/>
                <w:sz w:val="22"/>
                <w:szCs w:val="22"/>
                <w:lang w:val="hr-HR"/>
              </w:rPr>
            </w:pPr>
            <w:r>
              <w:rPr>
                <w:rFonts w:ascii="Garamond" w:hAnsi="Garamond"/>
                <w:sz w:val="22"/>
                <w:szCs w:val="22"/>
                <w:lang w:val="hr-HR"/>
              </w:rPr>
              <w:t xml:space="preserve">Ovom Odlukom općinski načelnik predlaže visinu paušalnog poreza po krevetu u iznosu od 100,00 eura za područje Općine Punat te </w:t>
            </w:r>
            <w:r w:rsidR="00070E7A">
              <w:rPr>
                <w:rFonts w:ascii="Garamond" w:hAnsi="Garamond"/>
                <w:sz w:val="22"/>
                <w:szCs w:val="22"/>
                <w:lang w:val="hr-HR"/>
              </w:rPr>
              <w:t xml:space="preserve">po smještajnoj jedinici u kampu odnosno </w:t>
            </w:r>
            <w:r w:rsidR="00070E7A" w:rsidRPr="00070E7A">
              <w:rPr>
                <w:rFonts w:ascii="Garamond" w:hAnsi="Garamond"/>
                <w:sz w:val="22"/>
                <w:szCs w:val="22"/>
                <w:lang w:val="hr-HR"/>
              </w:rPr>
              <w:t>smještajnoj jedinici u objektu za robinzonski smještaj</w:t>
            </w:r>
            <w:r w:rsidR="00070E7A">
              <w:rPr>
                <w:rFonts w:ascii="Garamond" w:hAnsi="Garamond"/>
                <w:sz w:val="22"/>
                <w:szCs w:val="22"/>
                <w:lang w:val="hr-HR"/>
              </w:rPr>
              <w:t xml:space="preserve"> u iznosu od 1</w:t>
            </w:r>
            <w:r w:rsidR="00B61999">
              <w:rPr>
                <w:rFonts w:ascii="Garamond" w:hAnsi="Garamond"/>
                <w:sz w:val="22"/>
                <w:szCs w:val="22"/>
                <w:lang w:val="hr-HR"/>
              </w:rPr>
              <w:t>2</w:t>
            </w:r>
            <w:r w:rsidR="00070E7A">
              <w:rPr>
                <w:rFonts w:ascii="Garamond" w:hAnsi="Garamond"/>
                <w:sz w:val="22"/>
                <w:szCs w:val="22"/>
                <w:lang w:val="hr-HR"/>
              </w:rPr>
              <w:t>5,00 eura.</w:t>
            </w:r>
          </w:p>
          <w:p w14:paraId="755A799F" w14:textId="77777777" w:rsidR="00AA3418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51908771" w14:textId="61193701" w:rsidR="00AA3418" w:rsidRPr="001F49D6" w:rsidRDefault="00AA3418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063B81CF" w:rsidR="0018120A" w:rsidRPr="001F49D6" w:rsidRDefault="00CC5000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2</w:t>
            </w:r>
            <w:r w:rsidR="00B61999">
              <w:rPr>
                <w:rFonts w:ascii="Garamond" w:eastAsia="Myriad Pro" w:hAnsi="Garamond" w:cs="Myriad Pro"/>
                <w:color w:val="231F20"/>
              </w:rPr>
              <w:t>1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</w:rPr>
              <w:t xml:space="preserve">siječnja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CC5000">
        <w:trPr>
          <w:trHeight w:hRule="exact" w:val="50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4EBD5F2B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Odluka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070E7A">
              <w:rPr>
                <w:rFonts w:ascii="Garamond" w:hAnsi="Garamond" w:cs="Times New Roman"/>
              </w:rPr>
              <w:t>visini paušalnog poreza na dohodak za djelatnosti iznajmljivanja i smještaja u turizmu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lastRenderedPageBreak/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70E7A">
        <w:trPr>
          <w:trHeight w:hRule="exact" w:val="105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30FBB753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2B4F32" w:rsidRPr="00CC5000">
              <w:rPr>
                <w:rFonts w:ascii="Garamond" w:eastAsia="Myriad Pro" w:hAnsi="Garamond" w:cs="Myriad Pro"/>
                <w:color w:val="231F20"/>
              </w:rPr>
              <w:t>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veljače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FA42" w14:textId="77777777" w:rsidR="003358CC" w:rsidRDefault="003358CC">
      <w:pPr>
        <w:spacing w:after="0" w:line="240" w:lineRule="auto"/>
      </w:pPr>
      <w:r>
        <w:separator/>
      </w:r>
    </w:p>
  </w:endnote>
  <w:endnote w:type="continuationSeparator" w:id="0">
    <w:p w14:paraId="200690E9" w14:textId="77777777" w:rsidR="003358CC" w:rsidRDefault="0033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8F86" w14:textId="77777777" w:rsidR="003358CC" w:rsidRDefault="003358CC">
      <w:pPr>
        <w:spacing w:after="0" w:line="240" w:lineRule="auto"/>
      </w:pPr>
      <w:r>
        <w:separator/>
      </w:r>
    </w:p>
  </w:footnote>
  <w:footnote w:type="continuationSeparator" w:id="0">
    <w:p w14:paraId="6F6E74C4" w14:textId="77777777" w:rsidR="003358CC" w:rsidRDefault="0033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70E7A"/>
    <w:rsid w:val="0010378C"/>
    <w:rsid w:val="0018120A"/>
    <w:rsid w:val="001E0D36"/>
    <w:rsid w:val="001F49D6"/>
    <w:rsid w:val="001F64BF"/>
    <w:rsid w:val="002120FB"/>
    <w:rsid w:val="00267C99"/>
    <w:rsid w:val="00294943"/>
    <w:rsid w:val="002B4F32"/>
    <w:rsid w:val="002D0E7D"/>
    <w:rsid w:val="003358CC"/>
    <w:rsid w:val="004809EA"/>
    <w:rsid w:val="00510A0C"/>
    <w:rsid w:val="00540E59"/>
    <w:rsid w:val="00582B42"/>
    <w:rsid w:val="005838DA"/>
    <w:rsid w:val="007322AC"/>
    <w:rsid w:val="00757BED"/>
    <w:rsid w:val="007B0AF3"/>
    <w:rsid w:val="008523DA"/>
    <w:rsid w:val="008C19C8"/>
    <w:rsid w:val="009736EF"/>
    <w:rsid w:val="009B7EA5"/>
    <w:rsid w:val="009D188E"/>
    <w:rsid w:val="009D3BAD"/>
    <w:rsid w:val="00A70741"/>
    <w:rsid w:val="00A825B1"/>
    <w:rsid w:val="00AA3418"/>
    <w:rsid w:val="00AC020E"/>
    <w:rsid w:val="00B472D9"/>
    <w:rsid w:val="00B61999"/>
    <w:rsid w:val="00B819BA"/>
    <w:rsid w:val="00BB7507"/>
    <w:rsid w:val="00CC5000"/>
    <w:rsid w:val="00DC14F8"/>
    <w:rsid w:val="00E5633B"/>
    <w:rsid w:val="00ED57CB"/>
    <w:rsid w:val="00E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2025-01-21T11:15:00Z</dcterms:created>
  <dcterms:modified xsi:type="dcterms:W3CDTF">2025-01-21T11:15:00Z</dcterms:modified>
</cp:coreProperties>
</file>