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5308" w14:textId="50BEF442" w:rsidR="00EF5C5D" w:rsidRDefault="00EF5C5D" w:rsidP="00EF5C5D">
      <w:pPr>
        <w:suppressAutoHyphens w:val="0"/>
        <w:ind w:firstLine="720"/>
        <w:rPr>
          <w:rFonts w:ascii="Garamond" w:hAnsi="Garamond" w:cs="Arial"/>
          <w:sz w:val="24"/>
          <w:szCs w:val="24"/>
          <w:lang w:eastAsia="hr-HR"/>
        </w:rPr>
      </w:pPr>
      <w:r>
        <w:rPr>
          <w:rFonts w:ascii="Garamond" w:hAnsi="Garamond" w:cs="Arial"/>
          <w:sz w:val="24"/>
          <w:szCs w:val="24"/>
          <w:lang w:eastAsia="hr-HR"/>
        </w:rPr>
        <w:t>Na temelju članka 18. Zakona o proračunu („Narodne novine“, broj 144/21</w:t>
      </w:r>
      <w:r>
        <w:rPr>
          <w:rFonts w:ascii="Garamond" w:hAnsi="Garamond" w:cs="Arial"/>
          <w:color w:val="000000"/>
          <w:sz w:val="24"/>
          <w:szCs w:val="24"/>
          <w:lang w:eastAsia="hr-HR"/>
        </w:rPr>
        <w:t>)</w:t>
      </w:r>
      <w:r>
        <w:rPr>
          <w:rFonts w:ascii="Garamond" w:hAnsi="Garamond" w:cs="Arial"/>
          <w:sz w:val="24"/>
          <w:szCs w:val="24"/>
          <w:lang w:eastAsia="hr-HR"/>
        </w:rPr>
        <w:t xml:space="preserve"> i članka 32. Statuta Općine Punat („Službene novine Primorsko – goranske županije“, broj 36/22) Općinsko vijeće Općine Punat, na </w:t>
      </w:r>
      <w:r w:rsidR="00C91BCC">
        <w:rPr>
          <w:rFonts w:ascii="Garamond" w:hAnsi="Garamond" w:cs="Arial"/>
          <w:sz w:val="24"/>
          <w:szCs w:val="24"/>
          <w:lang w:eastAsia="hr-HR"/>
        </w:rPr>
        <w:t>16.</w:t>
      </w:r>
      <w:r>
        <w:rPr>
          <w:rFonts w:ascii="Garamond" w:hAnsi="Garamond" w:cs="Arial"/>
          <w:sz w:val="24"/>
          <w:szCs w:val="24"/>
          <w:lang w:eastAsia="hr-HR"/>
        </w:rPr>
        <w:t xml:space="preserve"> sjednici održanoj dana </w:t>
      </w:r>
      <w:r w:rsidR="00C91BCC">
        <w:rPr>
          <w:rFonts w:ascii="Garamond" w:hAnsi="Garamond" w:cs="Arial"/>
          <w:sz w:val="24"/>
          <w:szCs w:val="24"/>
          <w:lang w:eastAsia="hr-HR"/>
        </w:rPr>
        <w:t xml:space="preserve">28. </w:t>
      </w:r>
      <w:r>
        <w:rPr>
          <w:rFonts w:ascii="Garamond" w:hAnsi="Garamond" w:cs="Arial"/>
          <w:sz w:val="24"/>
          <w:szCs w:val="24"/>
          <w:lang w:eastAsia="hr-HR"/>
        </w:rPr>
        <w:t>studenog</w:t>
      </w:r>
      <w:r w:rsidR="00C91BCC">
        <w:rPr>
          <w:rFonts w:ascii="Garamond" w:hAnsi="Garamond" w:cs="Arial"/>
          <w:sz w:val="24"/>
          <w:szCs w:val="24"/>
          <w:lang w:eastAsia="hr-HR"/>
        </w:rPr>
        <w:t>a</w:t>
      </w:r>
      <w:r>
        <w:rPr>
          <w:rFonts w:ascii="Garamond" w:hAnsi="Garamond" w:cs="Arial"/>
          <w:sz w:val="24"/>
          <w:szCs w:val="24"/>
          <w:lang w:eastAsia="hr-HR"/>
        </w:rPr>
        <w:t xml:space="preserve"> 2023. godine donijelo je</w:t>
      </w:r>
    </w:p>
    <w:p w14:paraId="1D465EB7" w14:textId="77777777" w:rsidR="00EF5C5D" w:rsidRDefault="00EF5C5D" w:rsidP="00EF5C5D">
      <w:pPr>
        <w:suppressAutoHyphens w:val="0"/>
        <w:rPr>
          <w:rFonts w:ascii="Garamond" w:hAnsi="Garamond" w:cs="Arial"/>
          <w:b/>
          <w:bCs/>
          <w:color w:val="000000"/>
          <w:sz w:val="24"/>
          <w:szCs w:val="24"/>
          <w:lang w:eastAsia="hr-HR"/>
        </w:rPr>
      </w:pPr>
    </w:p>
    <w:p w14:paraId="2FAC4369" w14:textId="77777777" w:rsidR="00EF5C5D" w:rsidRDefault="00EF5C5D" w:rsidP="00EF5C5D">
      <w:pPr>
        <w:suppressAutoHyphens w:val="0"/>
        <w:jc w:val="center"/>
        <w:rPr>
          <w:rFonts w:ascii="Garamond" w:hAnsi="Garamond" w:cs="Arial"/>
          <w:b/>
          <w:bCs/>
          <w:color w:val="000000"/>
          <w:sz w:val="24"/>
          <w:szCs w:val="24"/>
          <w:lang w:eastAsia="hr-HR"/>
        </w:rPr>
      </w:pPr>
      <w:r>
        <w:rPr>
          <w:rFonts w:ascii="Garamond" w:hAnsi="Garamond" w:cs="Arial"/>
          <w:b/>
          <w:bCs/>
          <w:color w:val="000000"/>
          <w:sz w:val="24"/>
          <w:szCs w:val="24"/>
          <w:lang w:eastAsia="hr-HR"/>
        </w:rPr>
        <w:t>ODLUKU</w:t>
      </w:r>
      <w:r>
        <w:rPr>
          <w:rFonts w:ascii="Garamond" w:hAnsi="Garamond" w:cs="Arial"/>
          <w:b/>
          <w:bCs/>
          <w:color w:val="000000"/>
          <w:sz w:val="24"/>
          <w:szCs w:val="24"/>
          <w:lang w:eastAsia="hr-HR"/>
        </w:rPr>
        <w:br/>
        <w:t>o izvršavanju Proračuna Općine Punat za 2024. godinu</w:t>
      </w:r>
    </w:p>
    <w:p w14:paraId="7EA2DE12" w14:textId="77777777" w:rsidR="00EF5C5D" w:rsidRDefault="00EF5C5D" w:rsidP="00EF5C5D">
      <w:pPr>
        <w:suppressAutoHyphens w:val="0"/>
        <w:jc w:val="center"/>
        <w:rPr>
          <w:rFonts w:ascii="Garamond" w:hAnsi="Garamond"/>
          <w:sz w:val="24"/>
          <w:szCs w:val="24"/>
          <w:lang w:eastAsia="hr-HR"/>
        </w:rPr>
      </w:pPr>
    </w:p>
    <w:p w14:paraId="492E4AF4" w14:textId="77777777" w:rsidR="00EF5C5D" w:rsidRDefault="00EF5C5D" w:rsidP="00EF5C5D">
      <w:pPr>
        <w:suppressAutoHyphens w:val="0"/>
        <w:jc w:val="center"/>
        <w:rPr>
          <w:rFonts w:ascii="Garamond" w:hAnsi="Garamond"/>
          <w:sz w:val="24"/>
          <w:szCs w:val="24"/>
          <w:lang w:eastAsia="hr-HR"/>
        </w:rPr>
      </w:pPr>
    </w:p>
    <w:p w14:paraId="0FFE5A92"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I. OPĆE ODREDBE</w:t>
      </w:r>
    </w:p>
    <w:p w14:paraId="2BE5440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w:t>
      </w:r>
    </w:p>
    <w:p w14:paraId="15702BE5"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Ovom Odlukom uređuje se struktura prihoda i primitaka te rashoda i izdataka Proračuna, njegovo izvršavanje, opseg zaduživanja i jamstava, upravljanje financijskom i nefinancijskom imovinom, korištenje namjenskih prihoda i primitaka, preraspodjela sredstava, ovlasti Općinskog načelnika te druga pitanja u izvršavanju Proračuna.</w:t>
      </w:r>
    </w:p>
    <w:p w14:paraId="0B50B820" w14:textId="77777777" w:rsidR="00EF5C5D" w:rsidRDefault="00EF5C5D" w:rsidP="00EF5C5D">
      <w:pPr>
        <w:suppressAutoHyphens w:val="0"/>
        <w:rPr>
          <w:rFonts w:ascii="Garamond" w:hAnsi="Garamond"/>
          <w:sz w:val="24"/>
          <w:szCs w:val="24"/>
          <w:lang w:eastAsia="hr-HR"/>
        </w:rPr>
      </w:pPr>
    </w:p>
    <w:p w14:paraId="32B4657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w:t>
      </w:r>
    </w:p>
    <w:p w14:paraId="4DA63949"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Ako se tijekom godine usvoje odluke i drugi propisi na osnovi kojih nastaju nove obveze za Proračun, sredstva će se osigurati u Proračunu za sljedeću proračunsku godinu u skladu s trogodišnjim fiskalnim projekcijama i mogućnostima.</w:t>
      </w:r>
    </w:p>
    <w:p w14:paraId="7CF08D4B" w14:textId="77777777" w:rsidR="00EF5C5D" w:rsidRDefault="00EF5C5D" w:rsidP="00EF5C5D">
      <w:pPr>
        <w:suppressAutoHyphens w:val="0"/>
        <w:rPr>
          <w:rFonts w:ascii="Garamond" w:hAnsi="Garamond"/>
          <w:sz w:val="24"/>
          <w:szCs w:val="24"/>
          <w:lang w:eastAsia="hr-HR"/>
        </w:rPr>
      </w:pPr>
    </w:p>
    <w:p w14:paraId="3369660A"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II. SADRŽAJ PRORAČUNA</w:t>
      </w:r>
    </w:p>
    <w:p w14:paraId="6D7C67C5" w14:textId="77777777" w:rsidR="00EF5C5D" w:rsidRDefault="00EF5C5D" w:rsidP="00EF5C5D">
      <w:pPr>
        <w:suppressAutoHyphens w:val="0"/>
        <w:jc w:val="center"/>
        <w:rPr>
          <w:rFonts w:ascii="Garamond" w:hAnsi="Garamond"/>
          <w:b/>
          <w:sz w:val="24"/>
          <w:szCs w:val="24"/>
          <w:lang w:eastAsia="hr-HR"/>
        </w:rPr>
      </w:pPr>
      <w:r>
        <w:rPr>
          <w:rFonts w:ascii="Garamond" w:hAnsi="Garamond" w:cs="Arial"/>
          <w:b/>
          <w:color w:val="000000"/>
          <w:sz w:val="24"/>
          <w:szCs w:val="24"/>
          <w:lang w:eastAsia="hr-HR"/>
        </w:rPr>
        <w:t>Članak 3.</w:t>
      </w:r>
    </w:p>
    <w:p w14:paraId="58A5DE1C" w14:textId="77777777" w:rsidR="00EF5C5D" w:rsidRDefault="00EF5C5D" w:rsidP="00EF5C5D">
      <w:pPr>
        <w:suppressAutoHyphens w:val="0"/>
        <w:ind w:firstLine="708"/>
        <w:rPr>
          <w:rFonts w:ascii="Garamond" w:hAnsi="Garamond" w:cs="Open Sans"/>
          <w:sz w:val="24"/>
          <w:szCs w:val="24"/>
        </w:rPr>
      </w:pPr>
      <w:r>
        <w:rPr>
          <w:rFonts w:ascii="Garamond" w:hAnsi="Garamond" w:cs="Open Sans"/>
          <w:sz w:val="24"/>
          <w:szCs w:val="24"/>
        </w:rPr>
        <w:t xml:space="preserve">Proračun se sastoji od Općeg i Posebnog dijela te Obrazloženja </w:t>
      </w:r>
      <w:proofErr w:type="spellStart"/>
      <w:r>
        <w:rPr>
          <w:rFonts w:ascii="Garamond" w:hAnsi="Garamond" w:cs="Open Sans"/>
          <w:sz w:val="24"/>
          <w:szCs w:val="24"/>
        </w:rPr>
        <w:t>Proračuna.Proračun</w:t>
      </w:r>
      <w:proofErr w:type="spellEnd"/>
      <w:r>
        <w:rPr>
          <w:rFonts w:ascii="Garamond" w:hAnsi="Garamond" w:cs="Open Sans"/>
          <w:sz w:val="24"/>
          <w:szCs w:val="24"/>
        </w:rPr>
        <w:t xml:space="preserve"> sadrži sve prihode i primitke te rashode i </w:t>
      </w:r>
      <w:proofErr w:type="spellStart"/>
      <w:r>
        <w:rPr>
          <w:rFonts w:ascii="Garamond" w:hAnsi="Garamond" w:cs="Open Sans"/>
          <w:sz w:val="24"/>
          <w:szCs w:val="24"/>
        </w:rPr>
        <w:t>i</w:t>
      </w:r>
      <w:proofErr w:type="spellEnd"/>
      <w:r>
        <w:rPr>
          <w:rFonts w:ascii="Garamond" w:hAnsi="Garamond" w:cs="Open Sans"/>
          <w:sz w:val="24"/>
          <w:szCs w:val="24"/>
        </w:rPr>
        <w:t xml:space="preserve"> izdatke Općine Punat.</w:t>
      </w:r>
    </w:p>
    <w:p w14:paraId="6E46C796" w14:textId="77777777" w:rsidR="00EF5C5D" w:rsidRDefault="00EF5C5D" w:rsidP="00EF5C5D">
      <w:pPr>
        <w:suppressAutoHyphens w:val="0"/>
        <w:ind w:firstLine="708"/>
        <w:rPr>
          <w:rFonts w:ascii="Garamond" w:hAnsi="Garamond"/>
          <w:sz w:val="24"/>
          <w:szCs w:val="24"/>
          <w:lang w:eastAsia="hr-HR"/>
        </w:rPr>
      </w:pPr>
      <w:r>
        <w:rPr>
          <w:rFonts w:ascii="Garamond" w:hAnsi="Garamond" w:cs="Arial"/>
          <w:i/>
          <w:color w:val="000000"/>
          <w:sz w:val="24"/>
          <w:szCs w:val="24"/>
          <w:lang w:eastAsia="hr-HR"/>
        </w:rPr>
        <w:t>Opći dio Proračuna</w:t>
      </w:r>
      <w:r>
        <w:rPr>
          <w:rFonts w:ascii="Garamond" w:hAnsi="Garamond" w:cs="Arial"/>
          <w:color w:val="000000"/>
          <w:sz w:val="24"/>
          <w:szCs w:val="24"/>
          <w:lang w:eastAsia="hr-HR"/>
        </w:rPr>
        <w:t xml:space="preserve"> čini Račun prihoda i rashoda i Računa financiranja.</w:t>
      </w:r>
    </w:p>
    <w:p w14:paraId="2C63C984" w14:textId="77777777" w:rsidR="00EF5C5D" w:rsidRDefault="00EF5C5D" w:rsidP="00EF5C5D">
      <w:pPr>
        <w:suppressAutoHyphens w:val="0"/>
        <w:ind w:firstLine="708"/>
        <w:rPr>
          <w:rFonts w:ascii="Garamond" w:hAnsi="Garamond"/>
          <w:sz w:val="24"/>
          <w:szCs w:val="24"/>
          <w:lang w:eastAsia="hr-HR"/>
        </w:rPr>
      </w:pPr>
      <w:r>
        <w:rPr>
          <w:rFonts w:ascii="Garamond" w:hAnsi="Garamond" w:cs="Arial"/>
          <w:i/>
          <w:color w:val="000000"/>
          <w:sz w:val="24"/>
          <w:szCs w:val="24"/>
          <w:lang w:eastAsia="hr-HR"/>
        </w:rPr>
        <w:t xml:space="preserve">Račun prihoda i rashoda </w:t>
      </w:r>
      <w:r>
        <w:rPr>
          <w:rFonts w:ascii="Garamond" w:hAnsi="Garamond" w:cs="Arial"/>
          <w:color w:val="000000"/>
          <w:sz w:val="24"/>
          <w:szCs w:val="24"/>
          <w:lang w:eastAsia="hr-HR"/>
        </w:rPr>
        <w:t xml:space="preserve">sastoji </w:t>
      </w:r>
      <w:r>
        <w:rPr>
          <w:rFonts w:ascii="Garamond" w:hAnsi="Garamond" w:cs="Arial"/>
          <w:sz w:val="24"/>
          <w:szCs w:val="24"/>
          <w:lang w:eastAsia="hr-HR"/>
        </w:rPr>
        <w:t xml:space="preserve">se </w:t>
      </w:r>
      <w:r>
        <w:rPr>
          <w:rFonts w:ascii="Garamond" w:hAnsi="Garamond" w:cs="Open Sans"/>
          <w:sz w:val="24"/>
          <w:szCs w:val="24"/>
        </w:rPr>
        <w:t>od prihoda i rashoda iskazanih prema izvorima financiranja i ekonomskoj klasifikaciji te rashoda iskazanih prema funkcijskoj klasifikaciji.</w:t>
      </w:r>
    </w:p>
    <w:p w14:paraId="0B36A8E5"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 xml:space="preserve">U </w:t>
      </w:r>
      <w:r w:rsidRPr="000A2C91">
        <w:rPr>
          <w:rFonts w:ascii="Garamond" w:hAnsi="Garamond" w:cs="Arial"/>
          <w:i/>
          <w:iCs/>
          <w:color w:val="000000"/>
          <w:sz w:val="24"/>
          <w:szCs w:val="24"/>
          <w:lang w:eastAsia="hr-HR"/>
        </w:rPr>
        <w:t>Računu financiranja</w:t>
      </w:r>
      <w:r>
        <w:rPr>
          <w:rFonts w:ascii="Garamond" w:hAnsi="Garamond" w:cs="Arial"/>
          <w:color w:val="000000"/>
          <w:sz w:val="24"/>
          <w:szCs w:val="24"/>
          <w:lang w:eastAsia="hr-HR"/>
        </w:rPr>
        <w:t xml:space="preserve"> iskazuju </w:t>
      </w:r>
      <w:r>
        <w:rPr>
          <w:rFonts w:ascii="Garamond" w:hAnsi="Garamond" w:cs="Arial"/>
          <w:sz w:val="24"/>
          <w:szCs w:val="24"/>
          <w:lang w:eastAsia="hr-HR"/>
        </w:rPr>
        <w:t xml:space="preserve">se </w:t>
      </w:r>
      <w:r>
        <w:rPr>
          <w:rFonts w:ascii="Garamond" w:hAnsi="Garamond" w:cs="Open Sans"/>
          <w:sz w:val="24"/>
          <w:szCs w:val="24"/>
        </w:rPr>
        <w:t>iskazuju se primici od financijske imovine i zaduživanja te izdaci za financijsku imovinu i otplate instrumenata zaduživanja prema izvorima financiranja i ekonomskoj klasifikaciji.</w:t>
      </w:r>
    </w:p>
    <w:p w14:paraId="4AFA07CC" w14:textId="77777777" w:rsidR="00EF5C5D" w:rsidRDefault="00EF5C5D" w:rsidP="00EF5C5D">
      <w:pPr>
        <w:suppressAutoHyphens w:val="0"/>
        <w:ind w:firstLine="709"/>
        <w:rPr>
          <w:rFonts w:ascii="Garamond" w:hAnsi="Garamond" w:cs="Open Sans"/>
          <w:sz w:val="24"/>
          <w:szCs w:val="24"/>
        </w:rPr>
      </w:pPr>
      <w:r>
        <w:rPr>
          <w:rFonts w:ascii="Garamond" w:hAnsi="Garamond" w:cs="Arial"/>
          <w:i/>
          <w:color w:val="000000"/>
          <w:sz w:val="24"/>
          <w:szCs w:val="24"/>
          <w:lang w:eastAsia="hr-HR"/>
        </w:rPr>
        <w:t>Posebni dio Proračuna</w:t>
      </w:r>
      <w:r>
        <w:rPr>
          <w:rFonts w:ascii="Garamond" w:hAnsi="Garamond" w:cs="Arial"/>
          <w:color w:val="000000"/>
          <w:sz w:val="24"/>
          <w:szCs w:val="24"/>
          <w:lang w:eastAsia="hr-HR"/>
        </w:rPr>
        <w:t xml:space="preserve"> sastoji se od </w:t>
      </w:r>
      <w:r>
        <w:rPr>
          <w:rFonts w:ascii="Garamond" w:hAnsi="Garamond" w:cs="Open Sans"/>
          <w:color w:val="414145"/>
          <w:sz w:val="24"/>
          <w:szCs w:val="24"/>
        </w:rPr>
        <w:t>p</w:t>
      </w:r>
      <w:r>
        <w:rPr>
          <w:rFonts w:ascii="Garamond" w:hAnsi="Garamond" w:cs="Open Sans"/>
          <w:sz w:val="24"/>
          <w:szCs w:val="24"/>
        </w:rPr>
        <w:t>lana rashoda i izdataka proračuna iskazanih po organizacijskoj klasifikaciji, izvorima financiranja i ekonomskoj klasifikaciji, raspoređenih u programe koji se sastoje od aktivnosti i projekata.</w:t>
      </w:r>
    </w:p>
    <w:p w14:paraId="7509F632" w14:textId="77777777" w:rsidR="00EF5C5D" w:rsidRDefault="00EF5C5D" w:rsidP="00EF5C5D">
      <w:pPr>
        <w:suppressAutoHyphens w:val="0"/>
        <w:ind w:firstLine="709"/>
        <w:rPr>
          <w:rFonts w:ascii="Garamond" w:hAnsi="Garamond"/>
          <w:sz w:val="24"/>
          <w:szCs w:val="24"/>
          <w:lang w:eastAsia="hr-HR"/>
        </w:rPr>
      </w:pPr>
      <w:r w:rsidRPr="000A2C91">
        <w:rPr>
          <w:rFonts w:ascii="Garamond" w:hAnsi="Garamond" w:cs="Open Sans"/>
          <w:i/>
          <w:iCs/>
          <w:sz w:val="24"/>
          <w:szCs w:val="24"/>
        </w:rPr>
        <w:t>Obrazloženje proračuna</w:t>
      </w:r>
      <w:r>
        <w:rPr>
          <w:rFonts w:ascii="Garamond" w:hAnsi="Garamond" w:cs="Open Sans"/>
          <w:sz w:val="24"/>
          <w:szCs w:val="24"/>
        </w:rPr>
        <w:t xml:space="preserve"> sastoji se od obrazloženja općeg dijela i posebnog dijela Proračuna.</w:t>
      </w:r>
    </w:p>
    <w:p w14:paraId="1A36DB3F" w14:textId="77777777" w:rsidR="00EF5C5D" w:rsidRDefault="00EF5C5D" w:rsidP="00EF5C5D">
      <w:pPr>
        <w:suppressAutoHyphens w:val="0"/>
        <w:rPr>
          <w:rFonts w:ascii="Garamond" w:hAnsi="Garamond"/>
          <w:sz w:val="24"/>
          <w:szCs w:val="24"/>
          <w:lang w:eastAsia="hr-HR"/>
        </w:rPr>
      </w:pPr>
    </w:p>
    <w:p w14:paraId="4585B5C3" w14:textId="77777777" w:rsidR="00EF5C5D" w:rsidRDefault="00EF5C5D" w:rsidP="00EF5C5D">
      <w:pPr>
        <w:suppressAutoHyphens w:val="0"/>
        <w:rPr>
          <w:rFonts w:ascii="Garamond" w:hAnsi="Garamond"/>
          <w:b/>
          <w:sz w:val="24"/>
          <w:szCs w:val="24"/>
          <w:lang w:eastAsia="hr-HR"/>
        </w:rPr>
      </w:pPr>
      <w:r>
        <w:rPr>
          <w:rFonts w:ascii="Garamond" w:hAnsi="Garamond" w:cs="Arial"/>
          <w:color w:val="000000"/>
          <w:sz w:val="24"/>
          <w:szCs w:val="24"/>
          <w:lang w:eastAsia="hr-HR"/>
        </w:rPr>
        <w:t>III. IZVRŠAVANJE PRORAČUNA</w:t>
      </w:r>
    </w:p>
    <w:p w14:paraId="359AC452"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4.</w:t>
      </w:r>
    </w:p>
    <w:p w14:paraId="0D6A4666"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14:paraId="411B6AE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Tekuće donacije planirane proračunom, osim tekućih donacija propisanih zakonom i odlukama, izvršavat će se u pravilu do razine realizacije poreznih prihoda.</w:t>
      </w:r>
    </w:p>
    <w:p w14:paraId="53E1146E"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6661D46A" w14:textId="77777777" w:rsidR="00C91BCC" w:rsidRPr="00BF1C0E" w:rsidRDefault="00C91BCC" w:rsidP="00EF5C5D">
      <w:pPr>
        <w:suppressAutoHyphens w:val="0"/>
        <w:ind w:firstLine="708"/>
        <w:rPr>
          <w:rFonts w:ascii="Garamond" w:hAnsi="Garamond"/>
          <w:sz w:val="24"/>
          <w:szCs w:val="24"/>
          <w:lang w:eastAsia="hr-HR"/>
        </w:rPr>
      </w:pPr>
    </w:p>
    <w:p w14:paraId="7CD9AB1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lastRenderedPageBreak/>
        <w:t>Članak 5.</w:t>
      </w:r>
    </w:p>
    <w:p w14:paraId="45862145"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Na teret proračuna tekuće godine mogu se preuzeti obveze samo za namjene i do visine utvrđene proračunom, ako su za to ispunjeni svi zakonom i drugim propisima utvrđeni uvjeti, a po dinamici ostvarenja prihoda Proračuna.</w:t>
      </w:r>
    </w:p>
    <w:p w14:paraId="45B734A6"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Obveze po ugovorima koje zahtijevaju plaćanje u sljedećim godinama mogu se preuzeti uz prethodnu suglasnost Općinskog načelnika.</w:t>
      </w:r>
    </w:p>
    <w:p w14:paraId="206BA351" w14:textId="77777777" w:rsidR="00EF5C5D" w:rsidRDefault="00EF5C5D" w:rsidP="00EF5C5D">
      <w:pPr>
        <w:suppressAutoHyphens w:val="0"/>
        <w:jc w:val="center"/>
        <w:rPr>
          <w:rFonts w:ascii="Garamond" w:hAnsi="Garamond" w:cs="Arial"/>
          <w:color w:val="000000"/>
          <w:sz w:val="24"/>
          <w:szCs w:val="24"/>
          <w:lang w:eastAsia="hr-HR"/>
        </w:rPr>
      </w:pPr>
    </w:p>
    <w:p w14:paraId="5C651A30"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6.</w:t>
      </w:r>
    </w:p>
    <w:p w14:paraId="2DAA9362"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Plaćanje predujma moguće je samo iznimno i na temelju prethodne suglasnosti Općinskog načelnika.</w:t>
      </w:r>
    </w:p>
    <w:p w14:paraId="03E4D851"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7.</w:t>
      </w:r>
    </w:p>
    <w:p w14:paraId="7D4B5A5D"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odobrava preraspodjelu sredstava na proračunskim stavkama najviše do 5% rashoda i izdataka na stavci koja se umanjuje. Općinski načelnik je obvezan u polugodišnjem i godišnjem izvješću izvijestiti Općinsko vijeće o preraspodjeli sredstava.</w:t>
      </w:r>
    </w:p>
    <w:p w14:paraId="4ED691CD" w14:textId="77777777" w:rsidR="00EF5C5D" w:rsidRDefault="00EF5C5D" w:rsidP="00EF5C5D">
      <w:pPr>
        <w:suppressAutoHyphens w:val="0"/>
        <w:jc w:val="center"/>
        <w:rPr>
          <w:rFonts w:ascii="Garamond" w:hAnsi="Garamond" w:cs="Arial"/>
          <w:color w:val="000000"/>
          <w:sz w:val="24"/>
          <w:szCs w:val="24"/>
          <w:lang w:eastAsia="hr-HR"/>
        </w:rPr>
      </w:pPr>
    </w:p>
    <w:p w14:paraId="18A4549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8.</w:t>
      </w:r>
    </w:p>
    <w:p w14:paraId="734E0D01"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Proračunska zaliha osigurava se u iznosu od 9.290,00 € i koristit će se za zakonski utvrđene namjene. </w:t>
      </w:r>
    </w:p>
    <w:p w14:paraId="1455CBA3"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 korištenju sredstava proračunske zalihe odlučuje Općinski načelnik, a obvezan je tromjesečno izvještavati Općinsko vijeće o korištenju iste.</w:t>
      </w:r>
    </w:p>
    <w:p w14:paraId="3A71F1D3" w14:textId="77777777" w:rsidR="00EF5C5D" w:rsidRDefault="00EF5C5D" w:rsidP="00EF5C5D">
      <w:pPr>
        <w:suppressAutoHyphens w:val="0"/>
        <w:jc w:val="center"/>
        <w:rPr>
          <w:rFonts w:ascii="Garamond" w:hAnsi="Garamond" w:cs="Arial"/>
          <w:color w:val="000000"/>
          <w:sz w:val="24"/>
          <w:szCs w:val="24"/>
          <w:lang w:eastAsia="hr-HR"/>
        </w:rPr>
      </w:pPr>
    </w:p>
    <w:p w14:paraId="4056FBA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9.</w:t>
      </w:r>
    </w:p>
    <w:p w14:paraId="6401F563"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Proračun se izvršava od 1. siječnja do 31. prosinca 2024. godine.</w:t>
      </w:r>
    </w:p>
    <w:p w14:paraId="3A2FB321"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color w:val="000000"/>
          <w:sz w:val="24"/>
          <w:szCs w:val="24"/>
          <w:lang w:eastAsia="hr-HR"/>
        </w:rPr>
        <w:t xml:space="preserve">O namjeni viška prihoda i pokriću manjka iz prethodne godine odlučuje Općinsko vijeće pri </w:t>
      </w:r>
      <w:r>
        <w:rPr>
          <w:rFonts w:ascii="Garamond" w:hAnsi="Garamond" w:cs="Arial"/>
          <w:sz w:val="24"/>
          <w:szCs w:val="24"/>
          <w:lang w:eastAsia="hr-HR"/>
        </w:rPr>
        <w:t xml:space="preserve">donošenju Godišnjeg izvještaja o izvršenju proračuna za 2023. godinu. </w:t>
      </w:r>
    </w:p>
    <w:p w14:paraId="52F7BC7F" w14:textId="77777777" w:rsidR="00EF5C5D" w:rsidRDefault="00EF5C5D" w:rsidP="00EF5C5D">
      <w:pPr>
        <w:suppressAutoHyphens w:val="0"/>
        <w:rPr>
          <w:rFonts w:ascii="Garamond" w:hAnsi="Garamond" w:cs="Arial"/>
          <w:sz w:val="24"/>
          <w:szCs w:val="24"/>
          <w:lang w:eastAsia="hr-HR"/>
        </w:rPr>
      </w:pPr>
    </w:p>
    <w:p w14:paraId="0507473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10.</w:t>
      </w:r>
    </w:p>
    <w:p w14:paraId="034455EA"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Prihodi Proračuna ubiru se i uplaćuju na žiro račun Proračuna Općine Punat u skladu sa Zakonom i drugim propisima, neovisno o visini prihoda planiranih u Proračunu.</w:t>
      </w:r>
    </w:p>
    <w:p w14:paraId="6FA09D50"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Otplate glavnica i kamata od zaduživanja i danih jamstava mogu se izvršavati u iznosima iznad planiranih.</w:t>
      </w:r>
    </w:p>
    <w:p w14:paraId="7FC005D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Ako aktivnosti i projekti za koje su sredstva osigurana u Proračunu tekuće godine nisu izvršeni do visine utvrđene Proračunom mogu se u toj visini izvršavati u sljedećoj godini, uz prethodnu suglasnost Općinskog načelnika.</w:t>
      </w:r>
    </w:p>
    <w:p w14:paraId="04AC0828" w14:textId="77777777" w:rsidR="00EF5C5D" w:rsidRDefault="00EF5C5D" w:rsidP="00EF5C5D">
      <w:pPr>
        <w:suppressAutoHyphens w:val="0"/>
        <w:rPr>
          <w:rFonts w:ascii="Garamond" w:hAnsi="Garamond"/>
          <w:sz w:val="24"/>
          <w:szCs w:val="24"/>
          <w:lang w:eastAsia="hr-HR"/>
        </w:rPr>
      </w:pPr>
    </w:p>
    <w:p w14:paraId="56C1A94B" w14:textId="77777777" w:rsidR="00EF5C5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IV. NAMJENSKI PRIHODI</w:t>
      </w:r>
    </w:p>
    <w:p w14:paraId="5E887604"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11.</w:t>
      </w:r>
    </w:p>
    <w:p w14:paraId="3424542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Namjenski prihodi i primici koji nisu iskorišteni u prethodnoj godini prenose se u proračun za tekuću proračunsku godinu.</w:t>
      </w:r>
    </w:p>
    <w:p w14:paraId="70BCB70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Naplaćeni i preneseni, a manje planirani namjenski prihodi i primici mogu se izvršavati iznad iznosa utvrđenih u Proračunu, a do visine uplaćenih, odnosno prenesenih sredstava.</w:t>
      </w:r>
    </w:p>
    <w:p w14:paraId="12C5779C"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 xml:space="preserve">Rashodi i izdaci Proračuna koji se financiraju iz namjenskih prihoda i primitaka izvršavat će se do iznosa naplaćenih prihoda i primitaka za te namjene. </w:t>
      </w:r>
    </w:p>
    <w:p w14:paraId="3C8A51D8" w14:textId="77777777" w:rsidR="00EF5C5D" w:rsidRPr="00452460" w:rsidRDefault="00EF5C5D" w:rsidP="00EF5C5D">
      <w:pPr>
        <w:suppressAutoHyphens w:val="0"/>
        <w:ind w:firstLine="708"/>
        <w:rPr>
          <w:rFonts w:ascii="Garamond" w:hAnsi="Garamond" w:cs="Arial"/>
          <w:color w:val="000000"/>
          <w:sz w:val="24"/>
          <w:szCs w:val="24"/>
          <w:lang w:eastAsia="hr-HR"/>
        </w:rPr>
      </w:pPr>
      <w:r w:rsidRPr="00452460">
        <w:rPr>
          <w:rFonts w:ascii="Garamond" w:hAnsi="Garamond" w:cs="Arial"/>
          <w:color w:val="000000"/>
          <w:sz w:val="24"/>
          <w:szCs w:val="24"/>
          <w:lang w:eastAsia="hr-HR"/>
        </w:rPr>
        <w:t>Sredstva prikupljena komunalnom naknadom, o</w:t>
      </w:r>
      <w:r w:rsidRPr="00452460">
        <w:rPr>
          <w:rFonts w:ascii="Garamond" w:hAnsi="Garamond"/>
          <w:sz w:val="24"/>
          <w:szCs w:val="24"/>
        </w:rPr>
        <w:t>sim za financiranje održavanja i građenja komunalne infrastrukture, mogu se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r>
        <w:rPr>
          <w:rFonts w:ascii="Garamond" w:hAnsi="Garamond"/>
          <w:sz w:val="24"/>
          <w:szCs w:val="24"/>
        </w:rPr>
        <w:t>.</w:t>
      </w:r>
    </w:p>
    <w:p w14:paraId="2172B1D3" w14:textId="77777777" w:rsidR="00EF5C5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lastRenderedPageBreak/>
        <w:t>V. ISPLATA SREDSTAVA IZ PRORAČUNA</w:t>
      </w:r>
    </w:p>
    <w:p w14:paraId="481CA3C6" w14:textId="77777777" w:rsidR="00EF5C5D" w:rsidRDefault="00EF5C5D" w:rsidP="00EF5C5D">
      <w:pPr>
        <w:suppressAutoHyphens w:val="0"/>
        <w:rPr>
          <w:rFonts w:ascii="Garamond" w:hAnsi="Garamond"/>
          <w:sz w:val="24"/>
          <w:szCs w:val="24"/>
          <w:lang w:eastAsia="hr-HR"/>
        </w:rPr>
      </w:pPr>
    </w:p>
    <w:p w14:paraId="0DC3BEA5" w14:textId="77777777" w:rsidR="00EF5C5D" w:rsidRDefault="00EF5C5D" w:rsidP="00EF5C5D">
      <w:pPr>
        <w:tabs>
          <w:tab w:val="center" w:pos="4536"/>
          <w:tab w:val="left" w:pos="5490"/>
        </w:tabs>
        <w:suppressAutoHyphens w:val="0"/>
        <w:jc w:val="left"/>
        <w:rPr>
          <w:rFonts w:ascii="Garamond" w:hAnsi="Garamond" w:cs="Arial"/>
          <w:b/>
          <w:color w:val="000000"/>
          <w:sz w:val="24"/>
          <w:szCs w:val="24"/>
          <w:lang w:eastAsia="hr-HR"/>
        </w:rPr>
      </w:pPr>
      <w:r>
        <w:rPr>
          <w:rFonts w:ascii="Garamond" w:hAnsi="Garamond" w:cs="Arial"/>
          <w:b/>
          <w:color w:val="000000"/>
          <w:sz w:val="24"/>
          <w:szCs w:val="24"/>
          <w:lang w:eastAsia="hr-HR"/>
        </w:rPr>
        <w:tab/>
        <w:t>Članak 12.</w:t>
      </w:r>
      <w:r>
        <w:rPr>
          <w:rFonts w:ascii="Garamond" w:hAnsi="Garamond" w:cs="Arial"/>
          <w:b/>
          <w:color w:val="000000"/>
          <w:sz w:val="24"/>
          <w:szCs w:val="24"/>
          <w:lang w:eastAsia="hr-HR"/>
        </w:rPr>
        <w:tab/>
      </w:r>
    </w:p>
    <w:p w14:paraId="29758002"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Nalogodavac i odgovorna osoba za izvršavanje proračuna u cjelini je Općinski načelnik.</w:t>
      </w:r>
    </w:p>
    <w:p w14:paraId="1BBC8BD2"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U okviru svog djelokruga i ovlasti pročelnik Jedinstvenog upravnog odjela odgovoran je za provedbu Odluke o izvršavanju Proračuna, kao i za naplatu i prikupljanje prihoda i primitaka, tako i za izvršavanje svih rashoda i izdataka sukladno namjenama i iznosima utvrđenim u posebnom dijelu Proračuna u okviru odgovarajućeg razdjela.</w:t>
      </w:r>
    </w:p>
    <w:p w14:paraId="2B4CA885"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Isplata mora biti sukladna proračunu, uz valjane knjigovodstvene isprave ovjerene od</w:t>
      </w:r>
      <w:r>
        <w:rPr>
          <w:rFonts w:ascii="Garamond" w:hAnsi="Garamond"/>
          <w:sz w:val="24"/>
          <w:szCs w:val="24"/>
          <w:lang w:eastAsia="hr-HR"/>
        </w:rPr>
        <w:t xml:space="preserve"> </w:t>
      </w:r>
      <w:r>
        <w:rPr>
          <w:rFonts w:ascii="Garamond" w:hAnsi="Garamond" w:cs="Arial"/>
          <w:sz w:val="24"/>
          <w:szCs w:val="24"/>
          <w:lang w:eastAsia="hr-HR"/>
        </w:rPr>
        <w:t>odgovorne osobe.</w:t>
      </w:r>
    </w:p>
    <w:p w14:paraId="36E9B6C1"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Svaki rashod i izdatak iz Proračuna mora se temeljiti na vjerodostojnoj knjigovodstvenoj ispravi kojom se dokazuje obveza plaćanja.</w:t>
      </w:r>
    </w:p>
    <w:p w14:paraId="3F14EC0C"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Aktivnosti i projekti financirani iz sredstava Europske unije te kapitalni projekti, koji nisu izvršeni do kraja 2023. godine, mogu se prenijeti i izvršavati u 2024. godini, pod uvjetom da su proračunska sredstva, koja su za njihovu provedbu bila osigurana u Proračunu Općine Punat za 2024. godinu, na kraju 2023. godine ostala neizvršena ili izvršena u iznosu manjem od planiranog.</w:t>
      </w:r>
    </w:p>
    <w:p w14:paraId="20B04B59" w14:textId="77777777" w:rsidR="00EF5C5D" w:rsidRDefault="00EF5C5D" w:rsidP="00EF5C5D">
      <w:pPr>
        <w:suppressAutoHyphens w:val="0"/>
        <w:rPr>
          <w:rFonts w:ascii="Garamond" w:hAnsi="Garamond"/>
          <w:sz w:val="24"/>
          <w:szCs w:val="24"/>
          <w:lang w:eastAsia="hr-HR"/>
        </w:rPr>
      </w:pPr>
    </w:p>
    <w:p w14:paraId="264757A5"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13.</w:t>
      </w:r>
    </w:p>
    <w:p w14:paraId="19FA254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isplatu sredstava za nabavu roba i usluga, obavljanje usluga i ustupanje radova moraju se temeljiti na propisima o javnoj nabavi.</w:t>
      </w:r>
    </w:p>
    <w:p w14:paraId="2C7470C1" w14:textId="77777777" w:rsidR="00EF5C5D" w:rsidRDefault="00EF5C5D" w:rsidP="00EF5C5D">
      <w:pPr>
        <w:suppressAutoHyphens w:val="0"/>
        <w:jc w:val="center"/>
        <w:rPr>
          <w:rFonts w:ascii="Garamond" w:hAnsi="Garamond" w:cs="Arial"/>
          <w:color w:val="000000"/>
          <w:sz w:val="24"/>
          <w:szCs w:val="24"/>
          <w:lang w:eastAsia="hr-HR"/>
        </w:rPr>
      </w:pPr>
    </w:p>
    <w:p w14:paraId="0A1667C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14.</w:t>
      </w:r>
    </w:p>
    <w:p w14:paraId="18989BC2"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 xml:space="preserve">Sredstva raspoređena u Razdjelu 001, koja se odnose na naknade članovima predstavničkog i izvršnog tijela, obračunavat će se i isplaćivati sukladno odredbama </w:t>
      </w:r>
      <w:r>
        <w:rPr>
          <w:rFonts w:ascii="Garamond" w:hAnsi="Garamond" w:cs="Arial"/>
          <w:bCs/>
          <w:color w:val="000000"/>
          <w:sz w:val="24"/>
          <w:szCs w:val="24"/>
          <w:shd w:val="clear" w:color="auto" w:fill="FFFFFF"/>
        </w:rPr>
        <w:t xml:space="preserve">Odluke o naknadama troškova za rad u tijelima Općine Punat </w:t>
      </w:r>
      <w:r>
        <w:rPr>
          <w:rFonts w:ascii="Garamond" w:hAnsi="Garamond" w:cs="Arial"/>
          <w:sz w:val="24"/>
          <w:szCs w:val="24"/>
          <w:lang w:eastAsia="hr-HR"/>
        </w:rPr>
        <w:t>te Zakona i Pravilnika o porezu na dohodak.</w:t>
      </w:r>
    </w:p>
    <w:p w14:paraId="319C201E"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Sredstva raspoređena u Razdjelu 003, koja se odnose na rashode za zaposlene, obračunavat će se i isplaćivati sukladno zakonu, podzakonskim propisima i općim aktima Općine Punat, kojima se uređuju plaće dužnosnika, službenika i namještenika Općine Punat.</w:t>
      </w:r>
    </w:p>
    <w:p w14:paraId="4D88F30B" w14:textId="77777777" w:rsidR="00EF5C5D" w:rsidRDefault="00EF5C5D" w:rsidP="00EF5C5D">
      <w:pPr>
        <w:suppressAutoHyphens w:val="0"/>
        <w:rPr>
          <w:rFonts w:ascii="Garamond" w:hAnsi="Garamond" w:cs="Arial"/>
          <w:color w:val="000000"/>
          <w:sz w:val="24"/>
          <w:szCs w:val="24"/>
          <w:lang w:eastAsia="hr-HR"/>
        </w:rPr>
      </w:pPr>
    </w:p>
    <w:p w14:paraId="19E0C62A"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15.</w:t>
      </w:r>
    </w:p>
    <w:p w14:paraId="5F1EF29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rad političkih stranaka i nezavisnih listi zastupljenih u Općinskom vijeću, naknade troškova za rad članova Općinskog vijeća i članova njihovih radnih tijela, isplaćivat će se temeljem Odluka Općinskog vijeća, po nalogu pročelnika.</w:t>
      </w:r>
    </w:p>
    <w:p w14:paraId="414CEFE2" w14:textId="77777777" w:rsidR="00EF5C5D" w:rsidRDefault="00EF5C5D" w:rsidP="00EF5C5D">
      <w:pPr>
        <w:suppressAutoHyphens w:val="0"/>
        <w:rPr>
          <w:rFonts w:ascii="Garamond" w:hAnsi="Garamond"/>
          <w:sz w:val="24"/>
          <w:szCs w:val="24"/>
          <w:lang w:eastAsia="hr-HR"/>
        </w:rPr>
      </w:pPr>
    </w:p>
    <w:p w14:paraId="3F9B7BF5" w14:textId="77777777" w:rsidR="00EF5C5D" w:rsidRDefault="00EF5C5D" w:rsidP="00EF5C5D">
      <w:pPr>
        <w:suppressAutoHyphens w:val="0"/>
        <w:jc w:val="center"/>
        <w:rPr>
          <w:rFonts w:ascii="Garamond" w:hAnsi="Garamond"/>
          <w:sz w:val="24"/>
          <w:szCs w:val="24"/>
          <w:lang w:eastAsia="hr-HR"/>
        </w:rPr>
      </w:pPr>
      <w:r>
        <w:rPr>
          <w:rFonts w:ascii="Garamond" w:hAnsi="Garamond" w:cs="Arial"/>
          <w:b/>
          <w:sz w:val="24"/>
          <w:szCs w:val="24"/>
          <w:lang w:eastAsia="hr-HR"/>
        </w:rPr>
        <w:t>Č</w:t>
      </w:r>
      <w:r>
        <w:rPr>
          <w:rFonts w:ascii="Garamond" w:hAnsi="Garamond" w:cs="Arial"/>
          <w:b/>
          <w:color w:val="000000"/>
          <w:sz w:val="24"/>
          <w:szCs w:val="24"/>
          <w:lang w:eastAsia="hr-HR"/>
        </w:rPr>
        <w:t>lanak 16.</w:t>
      </w:r>
    </w:p>
    <w:p w14:paraId="4AEF2B16"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Pogrešno ili više uplaćeni prihodi u Proračunu, vraćaju se uplatiteljima na teret tih prihoda.</w:t>
      </w:r>
    </w:p>
    <w:p w14:paraId="5454D6F7" w14:textId="77777777" w:rsidR="00EF5C5D" w:rsidRDefault="00EF5C5D" w:rsidP="00EF5C5D">
      <w:pPr>
        <w:suppressAutoHyphens w:val="0"/>
        <w:ind w:firstLine="708"/>
        <w:rPr>
          <w:rFonts w:ascii="Garamond" w:hAnsi="Garamond"/>
          <w:sz w:val="24"/>
          <w:szCs w:val="24"/>
          <w:lang w:eastAsia="hr-HR"/>
        </w:rPr>
      </w:pPr>
    </w:p>
    <w:p w14:paraId="55C791C1" w14:textId="77777777" w:rsidR="00EF5C5D" w:rsidRDefault="00EF5C5D" w:rsidP="00EF5C5D">
      <w:pPr>
        <w:suppressAutoHyphens w:val="0"/>
        <w:jc w:val="center"/>
        <w:rPr>
          <w:rFonts w:ascii="Garamond" w:hAnsi="Garamond" w:cs="Arial"/>
          <w:b/>
          <w:sz w:val="24"/>
          <w:szCs w:val="24"/>
          <w:lang w:eastAsia="hr-HR"/>
        </w:rPr>
      </w:pPr>
      <w:r>
        <w:rPr>
          <w:rFonts w:ascii="Garamond" w:hAnsi="Garamond" w:cs="Arial"/>
          <w:b/>
          <w:sz w:val="24"/>
          <w:szCs w:val="24"/>
          <w:lang w:eastAsia="hr-HR"/>
        </w:rPr>
        <w:t>Č</w:t>
      </w:r>
      <w:r>
        <w:rPr>
          <w:rFonts w:ascii="Garamond" w:hAnsi="Garamond" w:cs="Arial"/>
          <w:b/>
          <w:color w:val="000000"/>
          <w:sz w:val="24"/>
          <w:szCs w:val="24"/>
          <w:lang w:eastAsia="hr-HR"/>
        </w:rPr>
        <w:t>lanak 17.</w:t>
      </w:r>
    </w:p>
    <w:p w14:paraId="642F72A7"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Instrumente osiguranja plaćanja, kojima se na teret Proračuna stvaraju obveze, izdaje i potpisuje Općinski načelnik.</w:t>
      </w:r>
    </w:p>
    <w:p w14:paraId="0B4E4CD5"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Instrumenti osiguranja plaćanja primljeni od pravnih osoba kao sredstvo osiguranja naplate potraživanja ili izvođenja radova i usluga evidentiraju se i čuvaju u Jedinstvenom upravnom odjelu.</w:t>
      </w:r>
    </w:p>
    <w:p w14:paraId="55E64AE3" w14:textId="77777777" w:rsidR="00EF5C5D" w:rsidRDefault="00EF5C5D" w:rsidP="00EF5C5D">
      <w:pPr>
        <w:suppressAutoHyphens w:val="0"/>
        <w:rPr>
          <w:rFonts w:ascii="Garamond" w:hAnsi="Garamond"/>
          <w:sz w:val="24"/>
          <w:szCs w:val="24"/>
          <w:lang w:eastAsia="hr-HR"/>
        </w:rPr>
      </w:pPr>
    </w:p>
    <w:p w14:paraId="7ED3D98D"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VI. UPRAVLJANJE FINANCIJSKOM I NEFINANCIJSKOM IMOVINOM</w:t>
      </w:r>
    </w:p>
    <w:p w14:paraId="204DF66D" w14:textId="77777777" w:rsidR="00EF5C5D" w:rsidRDefault="00EF5C5D" w:rsidP="00EF5C5D">
      <w:pPr>
        <w:suppressAutoHyphens w:val="0"/>
        <w:jc w:val="center"/>
        <w:rPr>
          <w:rFonts w:ascii="Garamond" w:hAnsi="Garamond" w:cs="Arial"/>
          <w:color w:val="000000"/>
          <w:sz w:val="24"/>
          <w:szCs w:val="24"/>
          <w:lang w:eastAsia="hr-HR"/>
        </w:rPr>
      </w:pPr>
    </w:p>
    <w:p w14:paraId="69F3855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18.</w:t>
      </w:r>
    </w:p>
    <w:p w14:paraId="3E4F6154"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Imovinu Općine čine financijska i nefinancijska imovina kojom upravlja Općinski načelnik u skladu s posebnim propisima i Statutom Općine.</w:t>
      </w:r>
    </w:p>
    <w:p w14:paraId="06559DA0"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lastRenderedPageBreak/>
        <w:t>Članak 19.</w:t>
      </w:r>
    </w:p>
    <w:p w14:paraId="1D8CA8E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Raspoloživim novčanim sredstvima na računu Proračuna upravlja Općinski načelnik.</w:t>
      </w:r>
    </w:p>
    <w:p w14:paraId="3837FB49"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Novčana sredstva iz stavka 1. ovog članka mogu se polagati u poslovnu banku, poštujući načela sigurnosti, likvidnosti i isplativosti ulaganja. </w:t>
      </w:r>
    </w:p>
    <w:p w14:paraId="56AFEBCC"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Odluku o izboru banke donosi Općinski načelnik.</w:t>
      </w:r>
    </w:p>
    <w:p w14:paraId="35F5C781"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Društvima u vlasništvu Općine Punat, Općina može iz likvidnih sredstava Proračuna odobriti kratkoročnu pozajmicu uz kamatu u visini eskontne stope HNB i adekvatno osiguranje povrata pozajmice.</w:t>
      </w:r>
    </w:p>
    <w:p w14:paraId="30F363E6"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Odluku o oročavanju sredstava ili davanju kratkoročnih pozajmica donosi Općinski načelnik sukladno zakonskim propisima. Oročena sredstva te sredstva dana kao kratkoročne pozajmice moraju se vratiti u Proračun do 31.12.2024. godine.</w:t>
      </w:r>
    </w:p>
    <w:p w14:paraId="044C45B3" w14:textId="77777777" w:rsidR="00EF5C5D" w:rsidRDefault="00EF5C5D" w:rsidP="00EF5C5D">
      <w:pPr>
        <w:suppressAutoHyphens w:val="0"/>
        <w:jc w:val="center"/>
        <w:rPr>
          <w:rFonts w:ascii="Garamond" w:hAnsi="Garamond" w:cs="Arial"/>
          <w:color w:val="000000"/>
          <w:sz w:val="24"/>
          <w:szCs w:val="24"/>
          <w:lang w:eastAsia="hr-HR"/>
        </w:rPr>
      </w:pPr>
    </w:p>
    <w:p w14:paraId="7D1AA104"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20.</w:t>
      </w:r>
    </w:p>
    <w:p w14:paraId="01A0111D"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Općinsko vijeće može na prijedlog Općinskog načelnika odlučiti o kupnji dionica ili udjela u trgovačkom društvu ako su za kupnju osigurana sredstva u proračunu i ako se s time štiti interes Općine.</w:t>
      </w:r>
    </w:p>
    <w:p w14:paraId="74BD465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Ulaganja u imovinu trgovačkih društava u vlasništvu ili suvlasništvu Općine, evidentiraju se kao povećanje udjela.</w:t>
      </w:r>
    </w:p>
    <w:p w14:paraId="1C40A2BF"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U slučaju da prestane javni interes za vlasništvo dionica ili udjela u kapitalu pravnih osoba, Općinsko vijeće, na prijedlog Općinskog načelnika može odlučiti da se dionice odnosno udjeli u kapitalu prodaju, ako to nije u suprotnosti s posebnim zakonom. </w:t>
      </w:r>
    </w:p>
    <w:p w14:paraId="76B0334E"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Ostvarena sredstva od prodaje udjela i uloga u kapitalu koriste se samo za otplatu duga u Računu financiranja ili za nabavku nefinancijske i financijske imovine, ukoliko se spomenuta sredstva ostvare u iznosu većem od potrebnog za otplatu duga.</w:t>
      </w:r>
    </w:p>
    <w:p w14:paraId="60AD20D5" w14:textId="77777777" w:rsidR="00EF5C5D" w:rsidRDefault="00EF5C5D" w:rsidP="00EF5C5D">
      <w:pPr>
        <w:suppressAutoHyphens w:val="0"/>
        <w:jc w:val="center"/>
        <w:rPr>
          <w:rFonts w:ascii="Garamond" w:hAnsi="Garamond" w:cs="Arial"/>
          <w:b/>
          <w:color w:val="000000"/>
          <w:sz w:val="24"/>
          <w:szCs w:val="24"/>
          <w:lang w:eastAsia="hr-HR"/>
        </w:rPr>
      </w:pPr>
    </w:p>
    <w:p w14:paraId="6CD181F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21.</w:t>
      </w:r>
    </w:p>
    <w:p w14:paraId="3C74B55B"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Općinski načelnik može na zahtjev dužnika, uz primjereno osiguranje i kamate, odgoditi plaćanje ili odobriti obročnu otplatu duga, koji se ne smatraju javnim davanjima, pod uvjetom propisanim Zakonom o proračunu, podzakonskim aktima kao i aktima Općine Punat.</w:t>
      </w:r>
    </w:p>
    <w:p w14:paraId="645E3401" w14:textId="77777777" w:rsidR="00EF5C5D" w:rsidRDefault="00EF5C5D" w:rsidP="00EF5C5D">
      <w:pPr>
        <w:suppressAutoHyphens w:val="0"/>
        <w:ind w:firstLine="708"/>
        <w:rPr>
          <w:rFonts w:ascii="Garamond" w:hAnsi="Garamond" w:cs="Arial"/>
          <w:sz w:val="24"/>
          <w:szCs w:val="24"/>
        </w:rPr>
      </w:pPr>
      <w:r>
        <w:rPr>
          <w:rFonts w:ascii="Garamond" w:hAnsi="Garamond" w:cs="Arial"/>
          <w:sz w:val="24"/>
          <w:szCs w:val="24"/>
          <w:lang w:eastAsia="hr-HR"/>
        </w:rPr>
        <w:t>Kriteriji, mjere naplate, procedure naplate dospjelih potraživanja te kriteriji za otpis dospjelih nenaplaćenih potraživanja s osnove javnih davanja propisani su Odlukom</w:t>
      </w:r>
      <w:r>
        <w:rPr>
          <w:rFonts w:ascii="Garamond" w:hAnsi="Garamond" w:cs="Arial"/>
          <w:sz w:val="24"/>
          <w:szCs w:val="24"/>
        </w:rPr>
        <w:t xml:space="preserve"> o kriterijima, mjerama i proceduri naplate i otpisa potraživanja Općine Punat.</w:t>
      </w:r>
    </w:p>
    <w:p w14:paraId="0CFE034D" w14:textId="77777777" w:rsidR="00EF5C5D" w:rsidRDefault="00EF5C5D" w:rsidP="00EF5C5D">
      <w:pPr>
        <w:suppressAutoHyphens w:val="0"/>
        <w:rPr>
          <w:rFonts w:ascii="Garamond" w:hAnsi="Garamond"/>
          <w:sz w:val="24"/>
          <w:szCs w:val="24"/>
          <w:lang w:eastAsia="hr-HR"/>
        </w:rPr>
      </w:pPr>
    </w:p>
    <w:p w14:paraId="07D15AE5" w14:textId="77777777" w:rsidR="00EF5C5D" w:rsidRDefault="00EF5C5D" w:rsidP="00EF5C5D">
      <w:pPr>
        <w:suppressAutoHyphens w:val="0"/>
        <w:jc w:val="center"/>
        <w:rPr>
          <w:rFonts w:ascii="Garamond" w:hAnsi="Garamond"/>
          <w:b/>
          <w:sz w:val="24"/>
          <w:szCs w:val="24"/>
          <w:lang w:eastAsia="hr-HR"/>
        </w:rPr>
      </w:pPr>
      <w:r>
        <w:rPr>
          <w:rFonts w:ascii="Garamond" w:hAnsi="Garamond" w:cs="Tahoma"/>
          <w:b/>
          <w:sz w:val="24"/>
          <w:szCs w:val="24"/>
          <w:lang w:eastAsia="hr-HR"/>
        </w:rPr>
        <w:t>Č</w:t>
      </w:r>
      <w:r>
        <w:rPr>
          <w:rFonts w:ascii="Garamond" w:hAnsi="Garamond" w:cs="Tahoma"/>
          <w:b/>
          <w:color w:val="000000"/>
          <w:sz w:val="24"/>
          <w:szCs w:val="24"/>
          <w:lang w:eastAsia="hr-HR"/>
        </w:rPr>
        <w:t>l</w:t>
      </w:r>
      <w:r>
        <w:rPr>
          <w:rFonts w:ascii="Garamond" w:hAnsi="Garamond" w:cs="Arial"/>
          <w:b/>
          <w:color w:val="000000"/>
          <w:sz w:val="24"/>
          <w:szCs w:val="24"/>
          <w:lang w:eastAsia="hr-HR"/>
        </w:rPr>
        <w:t>anak 22.</w:t>
      </w:r>
    </w:p>
    <w:p w14:paraId="0598C655"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osiguranje nefinancijske dugotrajne imovine osigurana su u Proračunu Općine.</w:t>
      </w:r>
    </w:p>
    <w:p w14:paraId="50FD54C3" w14:textId="77777777" w:rsidR="00EF5C5D" w:rsidRDefault="00EF5C5D" w:rsidP="00EF5C5D">
      <w:pPr>
        <w:suppressAutoHyphens w:val="0"/>
        <w:rPr>
          <w:rFonts w:ascii="Garamond" w:hAnsi="Garamond"/>
          <w:sz w:val="24"/>
          <w:szCs w:val="24"/>
          <w:lang w:eastAsia="hr-HR"/>
        </w:rPr>
      </w:pPr>
    </w:p>
    <w:p w14:paraId="21A9AB49"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VII. ZADUŽIVANJE I JAMSTVA</w:t>
      </w:r>
    </w:p>
    <w:p w14:paraId="051CDF52"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23.</w:t>
      </w:r>
    </w:p>
    <w:p w14:paraId="3FB0116C"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Općina se može zaduživati za investicije uzimanjem kredita ili izdavanjem vrijednosnih papira, uz prethodnu suglasnost Vlade.</w:t>
      </w:r>
    </w:p>
    <w:p w14:paraId="609944C2" w14:textId="77777777" w:rsidR="00EF5C5D" w:rsidRDefault="00EF5C5D" w:rsidP="00EF5C5D">
      <w:pPr>
        <w:suppressAutoHyphens w:val="0"/>
        <w:rPr>
          <w:rFonts w:ascii="Garamond" w:hAnsi="Garamond" w:cs="Arial"/>
          <w:color w:val="000000"/>
          <w:sz w:val="24"/>
          <w:szCs w:val="24"/>
          <w:lang w:eastAsia="hr-HR"/>
        </w:rPr>
      </w:pPr>
    </w:p>
    <w:p w14:paraId="72EFAF39" w14:textId="77777777" w:rsidR="00EF5C5D" w:rsidRDefault="00EF5C5D" w:rsidP="00EF5C5D">
      <w:pPr>
        <w:suppressAutoHyphens w:val="0"/>
        <w:ind w:firstLine="708"/>
        <w:rPr>
          <w:rFonts w:ascii="Garamond" w:hAnsi="Garamond" w:cs="Arial"/>
          <w:sz w:val="24"/>
          <w:szCs w:val="24"/>
        </w:rPr>
      </w:pPr>
      <w:r>
        <w:rPr>
          <w:rFonts w:ascii="Garamond" w:hAnsi="Garamond" w:cs="Arial"/>
          <w:color w:val="000000"/>
          <w:sz w:val="24"/>
          <w:szCs w:val="24"/>
          <w:shd w:val="clear" w:color="auto" w:fill="FFFFFF"/>
        </w:rPr>
        <w:t xml:space="preserve">Dugoročno zaduženje početkom 2024. godine iznosi </w:t>
      </w:r>
      <w:r>
        <w:rPr>
          <w:rFonts w:ascii="Garamond" w:hAnsi="Garamond" w:cs="Arial"/>
          <w:sz w:val="24"/>
          <w:szCs w:val="24"/>
        </w:rPr>
        <w:t>1.709.958,63 €. Očekivani iznos ukupnog duga po preuzetim dugoročnim kreditnim zaduženjima na kraju proračunske godine, odnosno na dan 31.12.2024. godine iznositi će 1.000.200,68 €.</w:t>
      </w:r>
    </w:p>
    <w:p w14:paraId="70221B5C" w14:textId="77777777" w:rsidR="00EF5C5D" w:rsidRDefault="00EF5C5D" w:rsidP="00EF5C5D">
      <w:pPr>
        <w:suppressAutoHyphens w:val="0"/>
        <w:ind w:firstLine="708"/>
        <w:rPr>
          <w:rFonts w:ascii="Garamond" w:hAnsi="Garamond" w:cs="Arial"/>
          <w:sz w:val="24"/>
          <w:szCs w:val="24"/>
        </w:rPr>
      </w:pPr>
    </w:p>
    <w:p w14:paraId="678089C9"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24.</w:t>
      </w:r>
    </w:p>
    <w:p w14:paraId="4932DD7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Pravna osoba u većinskom izravnom ili neizravnom vlasništvu Općine može se zaduživati samo za investiciju uz suglasnost Općinskog načelnika i uz uvjete i na način propisan Zakonom.</w:t>
      </w:r>
    </w:p>
    <w:p w14:paraId="3F677C05" w14:textId="77777777" w:rsidR="00EF5C5D" w:rsidRDefault="00EF5C5D" w:rsidP="00EF5C5D">
      <w:pPr>
        <w:suppressAutoHyphens w:val="0"/>
        <w:jc w:val="center"/>
        <w:rPr>
          <w:rFonts w:ascii="Garamond" w:hAnsi="Garamond" w:cs="Arial"/>
          <w:color w:val="000000"/>
          <w:sz w:val="24"/>
          <w:szCs w:val="24"/>
          <w:lang w:eastAsia="hr-HR"/>
        </w:rPr>
      </w:pPr>
      <w:r>
        <w:rPr>
          <w:rFonts w:ascii="Garamond" w:hAnsi="Garamond" w:cs="Arial"/>
          <w:b/>
          <w:color w:val="000000"/>
          <w:sz w:val="24"/>
          <w:szCs w:val="24"/>
          <w:lang w:eastAsia="hr-HR"/>
        </w:rPr>
        <w:lastRenderedPageBreak/>
        <w:t>Članak 25.</w:t>
      </w:r>
    </w:p>
    <w:p w14:paraId="000D9879"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može dati jamstvo pravnoj osobi u većinskom izravnom ili neizravnom vlasništvu Općine za ispunjenje obveza pravne osobe, uz uvjete i na način propisan Zakonom. </w:t>
      </w:r>
    </w:p>
    <w:p w14:paraId="249F0677"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Općina je obvezna prije davanja jamstva ishoditi suglasnost ministra financija.</w:t>
      </w:r>
    </w:p>
    <w:p w14:paraId="03C7D907"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Ugovore o jamstvu sklapa Općinski načelnik.</w:t>
      </w:r>
    </w:p>
    <w:p w14:paraId="24DDA1D5" w14:textId="77777777" w:rsidR="00EF5C5D" w:rsidRDefault="00EF5C5D" w:rsidP="00EF5C5D">
      <w:pPr>
        <w:suppressAutoHyphens w:val="0"/>
        <w:rPr>
          <w:rFonts w:ascii="Garamond" w:hAnsi="Garamond" w:cs="Arial"/>
          <w:b/>
          <w:color w:val="000000"/>
          <w:sz w:val="24"/>
          <w:szCs w:val="24"/>
          <w:lang w:eastAsia="hr-HR"/>
        </w:rPr>
      </w:pPr>
    </w:p>
    <w:p w14:paraId="65963C5F"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26.</w:t>
      </w:r>
    </w:p>
    <w:p w14:paraId="4F96FA1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Polugodišnji izvještaj o izvršenju Proračuna izrađuje Jedinstveni upravni odjel i dostavlja ga Općinskom načelniku do 15. rujna tekuće godine. </w:t>
      </w:r>
    </w:p>
    <w:p w14:paraId="6E059F5E"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podnosi Općinskom vijeću, na donošenje polugodišnji izvještaj o izvršenju Proračuna do 30. rujna tekuće godine.</w:t>
      </w:r>
    </w:p>
    <w:p w14:paraId="68BFD6E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Godišnji izvještaj o izvršenju Proračuna izrađuje Jedinstveni upravni odjel i dostavlja ga Općinskom načelniku do 5. svibnja tekuće godine za prethodnu godinu. </w:t>
      </w:r>
    </w:p>
    <w:p w14:paraId="22A347C9"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podnosi Općinskom vijeću na donošenje godišnji izvještaj o izvršenju Proračuna do 31. svibnja tekuće godine za prethodnu godinu.</w:t>
      </w:r>
    </w:p>
    <w:p w14:paraId="6D05BFE3"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Godišnji izvještaj o izvršenju Proračuna </w:t>
      </w:r>
      <w:r>
        <w:rPr>
          <w:rFonts w:ascii="Garamond" w:hAnsi="Garamond" w:cs="Arial"/>
          <w:sz w:val="24"/>
          <w:szCs w:val="24"/>
          <w:lang w:eastAsia="hr-HR"/>
        </w:rPr>
        <w:t xml:space="preserve">dostavlja </w:t>
      </w:r>
      <w:r>
        <w:rPr>
          <w:rFonts w:ascii="Garamond" w:hAnsi="Garamond" w:cs="Arial"/>
          <w:color w:val="000000"/>
          <w:sz w:val="24"/>
          <w:szCs w:val="24"/>
          <w:lang w:eastAsia="hr-HR"/>
        </w:rPr>
        <w:t>Ministarstvu financija i Državnom uredu za reviziju u roku od 15 dana nakon što ga usvoji Općinsko vijeće.</w:t>
      </w:r>
    </w:p>
    <w:p w14:paraId="109F4774" w14:textId="77777777" w:rsidR="00EF5C5D" w:rsidRDefault="00EF5C5D" w:rsidP="00EF5C5D">
      <w:pPr>
        <w:suppressAutoHyphens w:val="0"/>
        <w:ind w:firstLine="708"/>
        <w:rPr>
          <w:rFonts w:ascii="Garamond" w:hAnsi="Garamond"/>
          <w:sz w:val="24"/>
          <w:szCs w:val="24"/>
          <w:lang w:eastAsia="hr-HR"/>
        </w:rPr>
      </w:pPr>
      <w:r>
        <w:rPr>
          <w:rFonts w:ascii="Garamond" w:hAnsi="Garamond" w:cs="Open Sans"/>
          <w:sz w:val="24"/>
          <w:szCs w:val="24"/>
        </w:rPr>
        <w:t>Ako predstavničko tijelo ne donese Godišnji izvještaj o izvršenju Proračuna, izvještaj se dostavlja Ministarstvu financija i Državnom uredu za reviziju u roku od 60 dana od dana podnošenja predstavničkom tijelu.</w:t>
      </w:r>
    </w:p>
    <w:p w14:paraId="4984D47A" w14:textId="77777777" w:rsidR="00EF5C5D" w:rsidRDefault="00EF5C5D" w:rsidP="00EF5C5D">
      <w:pPr>
        <w:suppressAutoHyphens w:val="0"/>
        <w:rPr>
          <w:rFonts w:ascii="Garamond" w:hAnsi="Garamond"/>
          <w:sz w:val="24"/>
          <w:szCs w:val="24"/>
          <w:lang w:eastAsia="hr-HR"/>
        </w:rPr>
      </w:pPr>
    </w:p>
    <w:p w14:paraId="07D83406" w14:textId="77777777" w:rsidR="00EF5C5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 xml:space="preserve">VIII. OVLASTI I ODGOVORNOSTI OPĆINSKOG NAČELNIKA </w:t>
      </w:r>
    </w:p>
    <w:p w14:paraId="0C508CA5" w14:textId="77777777" w:rsidR="00EF5C5D" w:rsidRDefault="00EF5C5D" w:rsidP="00EF5C5D">
      <w:pPr>
        <w:suppressAutoHyphens w:val="0"/>
        <w:rPr>
          <w:rFonts w:ascii="Garamond" w:hAnsi="Garamond"/>
          <w:sz w:val="24"/>
          <w:szCs w:val="24"/>
          <w:lang w:eastAsia="hr-HR"/>
        </w:rPr>
      </w:pPr>
    </w:p>
    <w:p w14:paraId="09304DD7"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27.</w:t>
      </w:r>
    </w:p>
    <w:p w14:paraId="1D26F7E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odgovoran je za planiranje i izvršavanje proračuna te za zakonito, svrhovito, učinkovito i ekonomično raspolaganje proračunskim sredstvima. Također odgovoran je za preuzimanje obveza, izdavanje naloga za plaćanje te za izdavanje naloga za naplatu u korist proračunskih sredstava. </w:t>
      </w:r>
    </w:p>
    <w:p w14:paraId="7B01986E" w14:textId="2CB23ACD"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može određena prava unutarnjim propisima u skladu s aktima o unutarnjem ustrojstvu prenijeti na druge osobe.</w:t>
      </w:r>
    </w:p>
    <w:p w14:paraId="0741BEA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 zakonitom, namjenskom i svrhovitom korištenju proračunskih sredstava te učinkovitom i djelotvornom funkcioniranju sustava financijskog upravljanja i kontrola u okviru sredstava utvrđenih u proračunu, Općinski načelnik, pročelnik Jedinstvenog upravnog odjela sastavljaju Izjavu o fiskalnoj odgovornosti.</w:t>
      </w:r>
    </w:p>
    <w:p w14:paraId="003BEEE7" w14:textId="77777777" w:rsidR="00EF5C5D" w:rsidRDefault="00EF5C5D" w:rsidP="00EF5C5D">
      <w:pPr>
        <w:suppressAutoHyphens w:val="0"/>
        <w:rPr>
          <w:rFonts w:ascii="Garamond" w:hAnsi="Garamond"/>
          <w:sz w:val="24"/>
          <w:szCs w:val="24"/>
          <w:lang w:eastAsia="hr-HR"/>
        </w:rPr>
      </w:pPr>
    </w:p>
    <w:p w14:paraId="1648CC6B" w14:textId="77777777" w:rsidR="00EF5C5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IX. PRIJELAZNE I ZAVRŠNE ODREDBE</w:t>
      </w:r>
    </w:p>
    <w:p w14:paraId="01D6D6B4" w14:textId="77777777" w:rsidR="00EF5C5D" w:rsidRDefault="00EF5C5D" w:rsidP="00EF5C5D">
      <w:pPr>
        <w:suppressAutoHyphens w:val="0"/>
        <w:rPr>
          <w:rFonts w:ascii="Garamond" w:hAnsi="Garamond"/>
          <w:sz w:val="24"/>
          <w:szCs w:val="24"/>
          <w:lang w:eastAsia="hr-HR"/>
        </w:rPr>
      </w:pPr>
    </w:p>
    <w:p w14:paraId="29F7713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28.</w:t>
      </w:r>
    </w:p>
    <w:p w14:paraId="066F0066" w14:textId="520D1925" w:rsidR="00EF5C5D" w:rsidRPr="00C91BCC" w:rsidRDefault="00EF5C5D" w:rsidP="00C91BCC">
      <w:pPr>
        <w:suppressAutoHyphens w:val="0"/>
        <w:ind w:firstLine="708"/>
        <w:rPr>
          <w:rFonts w:ascii="Garamond" w:hAnsi="Garamond"/>
          <w:sz w:val="24"/>
          <w:szCs w:val="24"/>
          <w:lang w:eastAsia="hr-HR"/>
        </w:rPr>
      </w:pPr>
      <w:r>
        <w:rPr>
          <w:rFonts w:ascii="Garamond" w:hAnsi="Garamond" w:cs="Arial"/>
          <w:color w:val="000000"/>
          <w:sz w:val="24"/>
          <w:szCs w:val="24"/>
          <w:lang w:eastAsia="hr-HR"/>
        </w:rPr>
        <w:t>Ova Odluka objavit će se „Službenim novinama Primorsko-goranske županije“, a stupa na snagu 1. siječnja 2024. godine.</w:t>
      </w:r>
    </w:p>
    <w:p w14:paraId="6B6F0F73" w14:textId="77777777" w:rsidR="00EF5C5D" w:rsidRDefault="00EF5C5D" w:rsidP="00EF5C5D">
      <w:pPr>
        <w:suppressAutoHyphens w:val="0"/>
        <w:jc w:val="center"/>
        <w:rPr>
          <w:rFonts w:ascii="Garamond" w:hAnsi="Garamond" w:cs="Arial"/>
          <w:color w:val="000000"/>
          <w:sz w:val="24"/>
          <w:szCs w:val="24"/>
          <w:lang w:eastAsia="hr-HR"/>
        </w:rPr>
      </w:pPr>
      <w:r>
        <w:rPr>
          <w:rFonts w:ascii="Garamond" w:hAnsi="Garamond" w:cs="Arial"/>
          <w:color w:val="000000"/>
          <w:sz w:val="24"/>
          <w:szCs w:val="24"/>
          <w:lang w:eastAsia="hr-HR"/>
        </w:rPr>
        <w:t xml:space="preserve">OPĆINSKO VIJEĆE </w:t>
      </w:r>
    </w:p>
    <w:p w14:paraId="2983D543" w14:textId="61F68E1F" w:rsidR="00EF5C5D" w:rsidRPr="00C91BCC" w:rsidRDefault="00EF5C5D" w:rsidP="00C91BCC">
      <w:pPr>
        <w:suppressAutoHyphens w:val="0"/>
        <w:jc w:val="center"/>
        <w:rPr>
          <w:rFonts w:ascii="Garamond" w:hAnsi="Garamond" w:cs="Arial"/>
          <w:color w:val="000000"/>
          <w:sz w:val="24"/>
          <w:szCs w:val="24"/>
          <w:lang w:eastAsia="hr-HR"/>
        </w:rPr>
      </w:pPr>
      <w:r>
        <w:rPr>
          <w:rFonts w:ascii="Garamond" w:hAnsi="Garamond" w:cs="Arial"/>
          <w:color w:val="000000"/>
          <w:sz w:val="24"/>
          <w:szCs w:val="24"/>
          <w:lang w:eastAsia="hr-HR"/>
        </w:rPr>
        <w:t xml:space="preserve">OPĆINE PUNAT                                                                                               </w:t>
      </w:r>
    </w:p>
    <w:p w14:paraId="41993D63" w14:textId="77777777" w:rsidR="00EF5C5D" w:rsidRDefault="00EF5C5D" w:rsidP="00EF5C5D">
      <w:pPr>
        <w:suppressAutoHyphens w:val="0"/>
        <w:jc w:val="left"/>
        <w:rPr>
          <w:rFonts w:ascii="Garamond" w:hAnsi="Garamond" w:cs="Arial"/>
          <w:color w:val="000000"/>
          <w:sz w:val="24"/>
          <w:szCs w:val="24"/>
          <w:lang w:eastAsia="hr-HR"/>
        </w:rPr>
      </w:pP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t xml:space="preserve">                           PREDSJEDNIK</w:t>
      </w:r>
    </w:p>
    <w:p w14:paraId="2ED4D4D6" w14:textId="77777777" w:rsidR="00EF5C5D" w:rsidRPr="00C91BCC" w:rsidRDefault="00EF5C5D" w:rsidP="00EF5C5D">
      <w:pPr>
        <w:rPr>
          <w:rFonts w:ascii="Garamond" w:hAnsi="Garamond" w:cs="Arial"/>
          <w:color w:val="000000"/>
          <w:sz w:val="24"/>
          <w:szCs w:val="24"/>
          <w:lang w:eastAsia="hr-HR"/>
        </w:rPr>
      </w:pPr>
      <w:r w:rsidRPr="00C91BCC">
        <w:rPr>
          <w:rFonts w:ascii="Garamond" w:hAnsi="Garamond"/>
          <w:sz w:val="24"/>
          <w:szCs w:val="24"/>
        </w:rPr>
        <w:tab/>
      </w:r>
      <w:r w:rsidRPr="00C91BCC">
        <w:rPr>
          <w:rFonts w:ascii="Garamond" w:hAnsi="Garamond" w:cs="Arial"/>
          <w:color w:val="000000"/>
          <w:sz w:val="24"/>
          <w:szCs w:val="24"/>
          <w:lang w:eastAsia="hr-HR"/>
        </w:rPr>
        <w:t xml:space="preserve">     </w:t>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r>
      <w:r w:rsidRPr="00C91BCC">
        <w:rPr>
          <w:rFonts w:ascii="Garamond" w:hAnsi="Garamond" w:cs="Arial"/>
          <w:color w:val="000000"/>
          <w:sz w:val="24"/>
          <w:szCs w:val="24"/>
          <w:lang w:eastAsia="hr-HR"/>
        </w:rPr>
        <w:tab/>
        <w:t xml:space="preserve">       Goran Gržančić, dr.med.,</w:t>
      </w:r>
      <w:proofErr w:type="spellStart"/>
      <w:r w:rsidRPr="00C91BCC">
        <w:rPr>
          <w:rFonts w:ascii="Garamond" w:hAnsi="Garamond" w:cs="Arial"/>
          <w:color w:val="000000"/>
          <w:sz w:val="24"/>
          <w:szCs w:val="24"/>
          <w:lang w:eastAsia="hr-HR"/>
        </w:rPr>
        <w:t>v.r</w:t>
      </w:r>
      <w:proofErr w:type="spellEnd"/>
      <w:r w:rsidRPr="00C91BCC">
        <w:rPr>
          <w:rFonts w:ascii="Garamond" w:hAnsi="Garamond" w:cs="Arial"/>
          <w:color w:val="000000"/>
          <w:sz w:val="24"/>
          <w:szCs w:val="24"/>
          <w:lang w:eastAsia="hr-HR"/>
        </w:rPr>
        <w:t>.</w:t>
      </w:r>
    </w:p>
    <w:p w14:paraId="0B74BA3E" w14:textId="77777777" w:rsidR="00C91BCC" w:rsidRPr="00C91BCC" w:rsidRDefault="00C91BCC" w:rsidP="00C91BCC">
      <w:pPr>
        <w:rPr>
          <w:rFonts w:ascii="Garamond" w:hAnsi="Garamond"/>
          <w:sz w:val="24"/>
          <w:szCs w:val="24"/>
        </w:rPr>
      </w:pPr>
    </w:p>
    <w:p w14:paraId="18198BA8" w14:textId="77777777" w:rsidR="00C91BCC" w:rsidRPr="00C91BCC" w:rsidRDefault="00C91BCC" w:rsidP="00C91BCC">
      <w:pPr>
        <w:rPr>
          <w:rFonts w:ascii="Garamond" w:hAnsi="Garamond"/>
          <w:sz w:val="24"/>
          <w:szCs w:val="24"/>
          <w:lang w:eastAsia="en-US"/>
        </w:rPr>
      </w:pPr>
      <w:r w:rsidRPr="00C91BCC">
        <w:rPr>
          <w:rFonts w:ascii="Garamond" w:hAnsi="Garamond"/>
          <w:sz w:val="24"/>
          <w:szCs w:val="24"/>
          <w:lang w:val="en-GB"/>
        </w:rPr>
        <w:t>KLASA: 024-05/23-01/5</w:t>
      </w:r>
    </w:p>
    <w:p w14:paraId="270F692D" w14:textId="6E9FD8E0" w:rsidR="00C91BCC" w:rsidRPr="00C91BCC" w:rsidRDefault="00C91BCC" w:rsidP="00C91BCC">
      <w:pPr>
        <w:rPr>
          <w:rFonts w:ascii="Garamond" w:eastAsia="Calibri" w:hAnsi="Garamond"/>
          <w:sz w:val="24"/>
          <w:szCs w:val="24"/>
          <w:lang w:val="en-GB"/>
        </w:rPr>
      </w:pPr>
      <w:r w:rsidRPr="00C91BCC">
        <w:rPr>
          <w:rFonts w:ascii="Garamond" w:hAnsi="Garamond"/>
          <w:sz w:val="24"/>
          <w:szCs w:val="24"/>
          <w:lang w:val="en-GB"/>
        </w:rPr>
        <w:t>URBROJ: 2170-31-01-23-</w:t>
      </w:r>
      <w:r>
        <w:rPr>
          <w:rFonts w:ascii="Garamond" w:hAnsi="Garamond"/>
          <w:sz w:val="24"/>
          <w:szCs w:val="24"/>
          <w:lang w:val="en-GB"/>
        </w:rPr>
        <w:t>6</w:t>
      </w:r>
    </w:p>
    <w:p w14:paraId="5533077F" w14:textId="521EE0A4" w:rsidR="00C91BCC" w:rsidRPr="00C91BCC" w:rsidRDefault="00C91BCC" w:rsidP="00EF5C5D">
      <w:pPr>
        <w:rPr>
          <w:rFonts w:ascii="Garamond" w:hAnsi="Garamond"/>
          <w:sz w:val="24"/>
          <w:szCs w:val="24"/>
          <w:lang w:val="en-GB"/>
        </w:rPr>
      </w:pPr>
      <w:r w:rsidRPr="00C91BCC">
        <w:rPr>
          <w:rFonts w:ascii="Garamond" w:hAnsi="Garamond"/>
          <w:sz w:val="24"/>
          <w:szCs w:val="24"/>
          <w:lang w:val="en-GB"/>
        </w:rPr>
        <w:t xml:space="preserve">Punat, 28. </w:t>
      </w:r>
      <w:proofErr w:type="spellStart"/>
      <w:r w:rsidRPr="00C91BCC">
        <w:rPr>
          <w:rFonts w:ascii="Garamond" w:hAnsi="Garamond"/>
          <w:sz w:val="24"/>
          <w:szCs w:val="24"/>
          <w:lang w:val="en-GB"/>
        </w:rPr>
        <w:t>studenoga</w:t>
      </w:r>
      <w:proofErr w:type="spellEnd"/>
      <w:r w:rsidRPr="00C91BCC">
        <w:rPr>
          <w:rFonts w:ascii="Garamond" w:hAnsi="Garamond"/>
          <w:sz w:val="24"/>
          <w:szCs w:val="24"/>
          <w:lang w:val="en-GB"/>
        </w:rPr>
        <w:t xml:space="preserve"> 2023. </w:t>
      </w:r>
      <w:proofErr w:type="spellStart"/>
      <w:r w:rsidRPr="00C91BCC">
        <w:rPr>
          <w:rFonts w:ascii="Garamond" w:hAnsi="Garamond"/>
          <w:sz w:val="24"/>
          <w:szCs w:val="24"/>
          <w:lang w:val="en-GB"/>
        </w:rPr>
        <w:t>godine</w:t>
      </w:r>
      <w:proofErr w:type="spellEnd"/>
    </w:p>
    <w:sectPr w:rsidR="00C91BCC" w:rsidRPr="00C91B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15ECD"/>
    <w:multiLevelType w:val="hybridMultilevel"/>
    <w:tmpl w:val="2BDE653A"/>
    <w:lvl w:ilvl="0" w:tplc="3D565970">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 w15:restartNumberingAfterBreak="0">
    <w:nsid w:val="499C3B9E"/>
    <w:multiLevelType w:val="hybridMultilevel"/>
    <w:tmpl w:val="0EC61798"/>
    <w:lvl w:ilvl="0" w:tplc="9F2CCA74">
      <w:start w:val="1"/>
      <w:numFmt w:val="lowerLetter"/>
      <w:lvlText w:val="%1)"/>
      <w:lvlJc w:val="left"/>
      <w:pPr>
        <w:ind w:left="720" w:hanging="360"/>
      </w:pPr>
      <w:rPr>
        <w:rFonts w:ascii="Garamond" w:eastAsia="Times New Roman" w:hAnsi="Garamond"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15699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07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81"/>
    <w:rsid w:val="001C560A"/>
    <w:rsid w:val="00590681"/>
    <w:rsid w:val="00A7008B"/>
    <w:rsid w:val="00A96F3F"/>
    <w:rsid w:val="00C91BCC"/>
    <w:rsid w:val="00E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3E3"/>
  <w15:chartTrackingRefBased/>
  <w15:docId w15:val="{4A79CA37-BC95-4D51-89F4-0BBB90C3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81"/>
    <w:pPr>
      <w:suppressAutoHyphens/>
      <w:spacing w:after="0" w:line="240" w:lineRule="auto"/>
      <w:jc w:val="both"/>
    </w:pPr>
    <w:rPr>
      <w:rFonts w:ascii="Times New Roman" w:eastAsia="Times New Roman" w:hAnsi="Times New Roman" w:cs="Times New Roman"/>
      <w:kern w:val="0"/>
      <w:szCs w:val="20"/>
      <w:lang w:val="hr-HR" w:eastAsia="zh-CN"/>
      <w14:ligatures w14:val="none"/>
    </w:rPr>
  </w:style>
  <w:style w:type="paragraph" w:styleId="Naslov2">
    <w:name w:val="heading 2"/>
    <w:basedOn w:val="Normal"/>
    <w:next w:val="Normal"/>
    <w:link w:val="Naslov2Char"/>
    <w:semiHidden/>
    <w:unhideWhenUsed/>
    <w:qFormat/>
    <w:rsid w:val="00590681"/>
    <w:pPr>
      <w:keepNext/>
      <w:tabs>
        <w:tab w:val="num" w:pos="0"/>
        <w:tab w:val="left" w:pos="709"/>
        <w:tab w:val="left" w:pos="7088"/>
      </w:tabs>
      <w:ind w:left="360"/>
      <w:jc w:val="center"/>
      <w:outlineLvl w:val="1"/>
    </w:pPr>
    <w:rPr>
      <w:b/>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590681"/>
    <w:rPr>
      <w:rFonts w:ascii="Times New Roman" w:eastAsia="Times New Roman" w:hAnsi="Times New Roman" w:cs="Times New Roman"/>
      <w:b/>
      <w:bCs/>
      <w:kern w:val="0"/>
      <w:sz w:val="24"/>
      <w:szCs w:val="20"/>
      <w:lang w:val="hr-HR" w:eastAsia="zh-CN"/>
      <w14:ligatures w14:val="none"/>
    </w:rPr>
  </w:style>
  <w:style w:type="paragraph" w:styleId="Odlomakpopisa">
    <w:name w:val="List Paragraph"/>
    <w:basedOn w:val="Normal"/>
    <w:uiPriority w:val="34"/>
    <w:qFormat/>
    <w:rsid w:val="0059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3293">
      <w:bodyDiv w:val="1"/>
      <w:marLeft w:val="0"/>
      <w:marRight w:val="0"/>
      <w:marTop w:val="0"/>
      <w:marBottom w:val="0"/>
      <w:divBdr>
        <w:top w:val="none" w:sz="0" w:space="0" w:color="auto"/>
        <w:left w:val="none" w:sz="0" w:space="0" w:color="auto"/>
        <w:bottom w:val="none" w:sz="0" w:space="0" w:color="auto"/>
        <w:right w:val="none" w:sz="0" w:space="0" w:color="auto"/>
      </w:divBdr>
    </w:div>
    <w:div w:id="18758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Nataša Kleković</cp:lastModifiedBy>
  <cp:revision>2</cp:revision>
  <dcterms:created xsi:type="dcterms:W3CDTF">2023-11-30T08:24:00Z</dcterms:created>
  <dcterms:modified xsi:type="dcterms:W3CDTF">2023-11-30T08:24:00Z</dcterms:modified>
</cp:coreProperties>
</file>