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545F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F55558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F55558" w:rsidRDefault="00F55558" w:rsidP="00F55558">
            <w:pPr>
              <w:keepNext/>
              <w:spacing w:after="0" w:line="276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47BE17D9" w14:textId="77777777" w:rsidR="00F55558" w:rsidRPr="00F55558" w:rsidRDefault="00F55558" w:rsidP="00F55558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62A5BC84" w14:textId="77777777" w:rsidR="00F55558" w:rsidRPr="00F55558" w:rsidRDefault="00F55558" w:rsidP="00F55558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F55558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F55558" w:rsidRDefault="00F55558" w:rsidP="00F55558">
            <w:pPr>
              <w:keepNext/>
              <w:spacing w:after="0" w:line="276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529023AA" w14:textId="77777777" w:rsidR="00F55558" w:rsidRPr="00F55558" w:rsidRDefault="00F55558" w:rsidP="00F5555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14:paraId="033917B0" w14:textId="2771EB5F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57475B">
        <w:rPr>
          <w:rFonts w:ascii="Garamond" w:eastAsia="Times New Roman" w:hAnsi="Garamond" w:cs="Times New Roman"/>
          <w:sz w:val="24"/>
          <w:szCs w:val="24"/>
          <w:lang w:val="hr-HR" w:eastAsia="hr-HR"/>
        </w:rPr>
        <w:t>944-01/20-02/06</w:t>
      </w:r>
    </w:p>
    <w:p w14:paraId="404E6FEA" w14:textId="4D4AE24B" w:rsidR="00F55558" w:rsidRPr="00F55558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</w:t>
      </w:r>
      <w:r w:rsidR="00B525B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2142-02-02/3-5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-20-</w:t>
      </w:r>
      <w:r w:rsidR="009E51D0">
        <w:rPr>
          <w:rFonts w:ascii="Garamond" w:eastAsia="Times New Roman" w:hAnsi="Garamond" w:cs="Times New Roman"/>
          <w:sz w:val="24"/>
          <w:szCs w:val="24"/>
          <w:lang w:val="hr-HR" w:eastAsia="hr-HR"/>
        </w:rPr>
        <w:t>19</w:t>
      </w:r>
    </w:p>
    <w:p w14:paraId="1C282799" w14:textId="164F81CE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57475B">
        <w:rPr>
          <w:rFonts w:ascii="Garamond" w:eastAsia="Times New Roman" w:hAnsi="Garamond" w:cs="Times New Roman"/>
          <w:sz w:val="24"/>
          <w:szCs w:val="24"/>
          <w:lang w:val="hr-HR" w:eastAsia="hr-HR"/>
        </w:rPr>
        <w:t>22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studenog</w:t>
      </w:r>
      <w:r w:rsidR="0057475B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  </w:t>
      </w:r>
    </w:p>
    <w:p w14:paraId="4B83DCEB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CBEF006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AE90C" w14:textId="741E7783" w:rsidR="00F55558" w:rsidRPr="00F55558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382914">
        <w:rPr>
          <w:rFonts w:ascii="Garamond" w:hAnsi="Garamond"/>
          <w:sz w:val="24"/>
          <w:szCs w:val="24"/>
          <w:lang w:val="hr-HR"/>
        </w:rPr>
        <w:t xml:space="preserve">Na temelju članka 48. stavka 2. Zakona o lokalnoj i područnoj (regionalnoj) samoupravi („Narodne novine“ broj </w:t>
      </w:r>
      <w:hyperlink r:id="rId6" w:tooltip="Zakon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33/01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 w:rsidR="003F0B62">
        <w:rPr>
          <w:rFonts w:ascii="Garamond" w:hAnsi="Garamond"/>
          <w:sz w:val="24"/>
          <w:szCs w:val="24"/>
          <w:shd w:val="clear" w:color="auto" w:fill="FFFFFF"/>
          <w:lang w:val="hr-HR"/>
        </w:rPr>
        <w:t>,</w:t>
      </w:r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 w:rsidR="003F0B62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i 98/19</w:t>
      </w:r>
      <w:r w:rsidRPr="00382914">
        <w:rPr>
          <w:rFonts w:ascii="Garamond" w:hAnsi="Garamond"/>
          <w:sz w:val="24"/>
          <w:szCs w:val="24"/>
          <w:lang w:val="hr-HR"/>
        </w:rPr>
        <w:t>),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 w:rsidR="00DA1438">
        <w:rPr>
          <w:rFonts w:ascii="Garamond" w:hAnsi="Garamond" w:cs="Arial"/>
          <w:sz w:val="24"/>
          <w:szCs w:val="24"/>
          <w:lang w:val="hr-HR"/>
        </w:rPr>
        <w:t>, 19/10 i 3/20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) i </w:t>
      </w:r>
      <w:r w:rsidRPr="00382914">
        <w:rPr>
          <w:rFonts w:ascii="Garamond" w:hAnsi="Garamond"/>
          <w:sz w:val="24"/>
          <w:szCs w:val="24"/>
          <w:lang w:val="hr-HR"/>
        </w:rPr>
        <w:t xml:space="preserve">članka 2. </w:t>
      </w:r>
      <w:r w:rsidR="00DA1438">
        <w:rPr>
          <w:rFonts w:ascii="Garamond" w:hAnsi="Garamond"/>
          <w:sz w:val="24"/>
          <w:szCs w:val="24"/>
          <w:lang w:val="hr-HR"/>
        </w:rPr>
        <w:t xml:space="preserve">i 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19B6D85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C539F9" w14:textId="77777777" w:rsidR="00F55558" w:rsidRPr="00F55558" w:rsidRDefault="00F55558" w:rsidP="00F5555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14:paraId="334DB0D7" w14:textId="1B3D764E" w:rsidR="00F55558" w:rsidRPr="00F55558" w:rsidRDefault="00F55558" w:rsidP="00F55558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 w:rsidR="009904F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14:paraId="46860877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1EFF8756" w14:textId="7D523A3E" w:rsidR="00F55558" w:rsidRPr="00C3639A" w:rsidRDefault="00F55558" w:rsidP="00F5555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Prodaj</w:t>
      </w:r>
      <w:r w:rsidR="00250F54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e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</w:t>
      </w:r>
      <w:r w:rsidRPr="00C3639A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se nekretnin</w:t>
      </w:r>
      <w:r w:rsidR="00250F54" w:rsidRPr="00C3639A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a</w:t>
      </w:r>
      <w:r w:rsidRPr="00C3639A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u vlasništvu Općine Punat:</w:t>
      </w:r>
    </w:p>
    <w:p w14:paraId="4BF7BA5E" w14:textId="77777777" w:rsidR="00F55558" w:rsidRPr="00C3639A" w:rsidRDefault="00F55558" w:rsidP="00F555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FB0B8D" w14:textId="52EE1B81" w:rsidR="00233057" w:rsidRPr="003746B9" w:rsidRDefault="00250F54" w:rsidP="0023305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3746B9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      1.</w:t>
      </w:r>
      <w:r w:rsidR="006A05B2" w:rsidRPr="003746B9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 </w:t>
      </w:r>
      <w:r w:rsidR="0057475B" w:rsidRPr="003746B9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dio </w:t>
      </w:r>
      <w:proofErr w:type="spellStart"/>
      <w:r w:rsidR="006A05B2" w:rsidRPr="003746B9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>z.č</w:t>
      </w:r>
      <w:proofErr w:type="spellEnd"/>
      <w:r w:rsidR="006A05B2" w:rsidRPr="003746B9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. </w:t>
      </w:r>
      <w:r w:rsidR="0057475B" w:rsidRPr="003746B9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>4923</w:t>
      </w:r>
      <w:r w:rsidR="006A05B2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>,</w:t>
      </w:r>
      <w:r w:rsidR="00233057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  <w:r w:rsidR="0057475B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>pašnjak površine 165</w:t>
      </w:r>
      <w:r w:rsidR="00233057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m2, upisana u zk.ul. </w:t>
      </w:r>
      <w:r w:rsidR="0057475B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>3204</w:t>
      </w:r>
      <w:r w:rsidR="00233057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  <w:r w:rsidR="00A0734B" w:rsidRPr="003746B9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k.o. Punat u površini od 12m2, odnosno 12/165 dijela nekretnine </w:t>
      </w:r>
      <w:r w:rsidR="00C3639A" w:rsidRPr="003746B9">
        <w:rPr>
          <w:rFonts w:ascii="Garamond" w:hAnsi="Garamond" w:cs="Arial"/>
          <w:bCs/>
          <w:sz w:val="24"/>
          <w:szCs w:val="24"/>
        </w:rPr>
        <w:t>(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prema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geodetskom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situacijskom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nacrtu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/>
          <w:sz w:val="24"/>
          <w:szCs w:val="24"/>
        </w:rPr>
        <w:t>ovlaštenog</w:t>
      </w:r>
      <w:proofErr w:type="spellEnd"/>
      <w:r w:rsidR="00C3639A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/>
          <w:sz w:val="24"/>
          <w:szCs w:val="24"/>
        </w:rPr>
        <w:t>inženjera</w:t>
      </w:r>
      <w:proofErr w:type="spellEnd"/>
      <w:r w:rsidR="00C3639A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/>
          <w:sz w:val="24"/>
          <w:szCs w:val="24"/>
        </w:rPr>
        <w:t>geodezije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stvarna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površina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nekretnine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C3639A" w:rsidRPr="003746B9">
        <w:rPr>
          <w:rFonts w:ascii="Garamond" w:hAnsi="Garamond" w:cs="Arial"/>
          <w:bCs/>
          <w:sz w:val="24"/>
          <w:szCs w:val="24"/>
        </w:rPr>
        <w:t>iznosi</w:t>
      </w:r>
      <w:proofErr w:type="spellEnd"/>
      <w:r w:rsidR="00C3639A" w:rsidRPr="003746B9">
        <w:rPr>
          <w:rFonts w:ascii="Garamond" w:hAnsi="Garamond" w:cs="Arial"/>
          <w:bCs/>
          <w:sz w:val="24"/>
          <w:szCs w:val="24"/>
        </w:rPr>
        <w:t xml:space="preserve"> 165 m2</w:t>
      </w:r>
      <w:r w:rsidR="00A0734B" w:rsidRPr="003746B9">
        <w:rPr>
          <w:rFonts w:ascii="Garamond" w:hAnsi="Garamond"/>
          <w:sz w:val="24"/>
          <w:szCs w:val="24"/>
        </w:rPr>
        <w:t xml:space="preserve">, od </w:t>
      </w:r>
      <w:proofErr w:type="spellStart"/>
      <w:r w:rsidR="00A0734B" w:rsidRPr="003746B9">
        <w:rPr>
          <w:rFonts w:ascii="Garamond" w:hAnsi="Garamond"/>
          <w:sz w:val="24"/>
          <w:szCs w:val="24"/>
        </w:rPr>
        <w:t>koje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A0734B" w:rsidRPr="003746B9">
        <w:rPr>
          <w:rFonts w:ascii="Garamond" w:hAnsi="Garamond"/>
          <w:sz w:val="24"/>
          <w:szCs w:val="24"/>
        </w:rPr>
        <w:t>površine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 se 10</w:t>
      </w:r>
      <w:r w:rsidR="003F0B62">
        <w:rPr>
          <w:rFonts w:ascii="Garamond" w:hAnsi="Garamond"/>
          <w:sz w:val="24"/>
          <w:szCs w:val="24"/>
        </w:rPr>
        <w:t xml:space="preserve"> </w:t>
      </w:r>
      <w:r w:rsidR="00A0734B" w:rsidRPr="003746B9">
        <w:rPr>
          <w:rFonts w:ascii="Garamond" w:hAnsi="Garamond"/>
          <w:sz w:val="24"/>
          <w:szCs w:val="24"/>
        </w:rPr>
        <w:t xml:space="preserve">m2 </w:t>
      </w:r>
      <w:proofErr w:type="spellStart"/>
      <w:r w:rsidR="00A0734B" w:rsidRPr="003746B9">
        <w:rPr>
          <w:rFonts w:ascii="Garamond" w:hAnsi="Garamond"/>
          <w:sz w:val="24"/>
          <w:szCs w:val="24"/>
        </w:rPr>
        <w:t>nalazi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A0734B" w:rsidRPr="003746B9">
        <w:rPr>
          <w:rFonts w:ascii="Garamond" w:hAnsi="Garamond"/>
          <w:sz w:val="24"/>
          <w:szCs w:val="24"/>
        </w:rPr>
        <w:t>unutar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A0734B" w:rsidRPr="003746B9">
        <w:rPr>
          <w:rFonts w:ascii="Garamond" w:hAnsi="Garamond"/>
          <w:sz w:val="24"/>
          <w:szCs w:val="24"/>
        </w:rPr>
        <w:t>nerazvrstane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A0734B" w:rsidRPr="003746B9">
        <w:rPr>
          <w:rFonts w:ascii="Garamond" w:hAnsi="Garamond"/>
          <w:sz w:val="24"/>
          <w:szCs w:val="24"/>
        </w:rPr>
        <w:t>ceste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. U </w:t>
      </w:r>
      <w:proofErr w:type="spellStart"/>
      <w:r w:rsidR="00A0734B" w:rsidRPr="003746B9">
        <w:rPr>
          <w:rFonts w:ascii="Garamond" w:hAnsi="Garamond"/>
          <w:sz w:val="24"/>
          <w:szCs w:val="24"/>
        </w:rPr>
        <w:t>odnosu</w:t>
      </w:r>
      <w:proofErr w:type="spellEnd"/>
      <w:r w:rsidR="00A0734B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CB69A9" w:rsidRPr="003746B9">
        <w:rPr>
          <w:rFonts w:ascii="Garamond" w:hAnsi="Garamond"/>
          <w:sz w:val="24"/>
          <w:szCs w:val="24"/>
        </w:rPr>
        <w:t>na</w:t>
      </w:r>
      <w:proofErr w:type="spellEnd"/>
      <w:r w:rsidR="00CB69A9" w:rsidRPr="003746B9">
        <w:rPr>
          <w:rFonts w:ascii="Garamond" w:hAnsi="Garamond"/>
          <w:sz w:val="24"/>
          <w:szCs w:val="24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preostalu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površinu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>155</w:t>
      </w:r>
      <w:r w:rsidR="003F0B6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>m2</w:t>
      </w:r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sklopljena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je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nagodba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izvlaštenju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odnosno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otuđena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površina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od</w:t>
      </w:r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143 m2</w:t>
      </w:r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pa je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stoga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predmet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natječaja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preostala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površina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od</w:t>
      </w:r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12</w:t>
      </w:r>
      <w:r w:rsidR="003F0B6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m2 </w:t>
      </w:r>
      <w:proofErr w:type="spellStart"/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>koj</w:t>
      </w:r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a</w:t>
      </w:r>
      <w:proofErr w:type="spellEnd"/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je </w:t>
      </w:r>
      <w:proofErr w:type="spellStart"/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>izvan</w:t>
      </w:r>
      <w:proofErr w:type="spellEnd"/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C3639A" w:rsidRPr="003746B9">
        <w:rPr>
          <w:rFonts w:ascii="Garamond" w:eastAsia="Times New Roman" w:hAnsi="Garamond" w:cs="Arial"/>
          <w:sz w:val="24"/>
          <w:szCs w:val="24"/>
          <w:lang w:eastAsia="hr-HR"/>
        </w:rPr>
        <w:t>ceste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sve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A0734B" w:rsidRPr="003746B9">
        <w:rPr>
          <w:rFonts w:ascii="Garamond" w:eastAsia="Times New Roman" w:hAnsi="Garamond" w:cs="Arial"/>
          <w:sz w:val="24"/>
          <w:szCs w:val="24"/>
          <w:lang w:eastAsia="hr-HR"/>
        </w:rPr>
        <w:t>ge</w:t>
      </w:r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odetskom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situacijskom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nacrtu</w:t>
      </w:r>
      <w:proofErr w:type="spellEnd"/>
      <w:r w:rsidR="00805D6C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05D6C" w:rsidRPr="003746B9">
        <w:rPr>
          <w:rFonts w:ascii="Garamond" w:eastAsia="Times New Roman" w:hAnsi="Garamond" w:cs="Arial"/>
          <w:sz w:val="24"/>
          <w:szCs w:val="24"/>
          <w:lang w:eastAsia="hr-HR"/>
        </w:rPr>
        <w:t>ovlaštenog</w:t>
      </w:r>
      <w:proofErr w:type="spellEnd"/>
      <w:r w:rsidR="00805D6C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05D6C" w:rsidRPr="003746B9">
        <w:rPr>
          <w:rFonts w:ascii="Garamond" w:eastAsia="Times New Roman" w:hAnsi="Garamond" w:cs="Arial"/>
          <w:sz w:val="24"/>
          <w:szCs w:val="24"/>
          <w:lang w:eastAsia="hr-HR"/>
        </w:rPr>
        <w:t>inženjera</w:t>
      </w:r>
      <w:proofErr w:type="spellEnd"/>
      <w:r w:rsidR="00805D6C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05D6C" w:rsidRPr="003746B9">
        <w:rPr>
          <w:rFonts w:ascii="Garamond" w:eastAsia="Times New Roman" w:hAnsi="Garamond" w:cs="Arial"/>
          <w:sz w:val="24"/>
          <w:szCs w:val="24"/>
          <w:lang w:eastAsia="hr-HR"/>
        </w:rPr>
        <w:t>geodezije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koji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se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nalazi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privitku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ovog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Natječaja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objavljen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je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na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internetskoj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stranici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>Općine</w:t>
      </w:r>
      <w:proofErr w:type="spellEnd"/>
      <w:r w:rsidR="00233057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Punat).</w:t>
      </w:r>
      <w:r w:rsidR="00C854E9" w:rsidRPr="003746B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4A4460B1" w14:textId="6A6F835B" w:rsidR="000D609E" w:rsidRPr="00C3639A" w:rsidRDefault="00C854E9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C3639A">
        <w:rPr>
          <w:rFonts w:ascii="Garamond" w:eastAsia="Times New Roman" w:hAnsi="Garamond" w:cs="Arial"/>
          <w:sz w:val="24"/>
          <w:szCs w:val="24"/>
          <w:lang w:eastAsia="hr-HR"/>
        </w:rPr>
        <w:t xml:space="preserve">         </w:t>
      </w:r>
    </w:p>
    <w:p w14:paraId="7016370D" w14:textId="268B884C" w:rsidR="00F55558" w:rsidRPr="00F55558" w:rsidRDefault="00F55558" w:rsidP="0057475B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 w:rsidR="0057475B"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 w:rsidR="0057475B"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 w:rsidR="0057475B"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C363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cijeni od </w:t>
      </w:r>
      <w:r w:rsidR="0057475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809,89 kn/m2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</w:t>
      </w:r>
      <w:r w:rsidRPr="00F5555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procjembenom elaboratu o tržišnoj vrijednosti nekretnine broj </w:t>
      </w:r>
      <w:r w:rsidR="0057475B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9</w:t>
      </w:r>
      <w:r w:rsidRPr="00F5555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/20</w:t>
      </w:r>
      <w:r w:rsidR="005B25FC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20</w:t>
      </w:r>
      <w:r w:rsidRPr="00F5555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izrađenom od stalnog sudskog vještaka za graditeljstvo i procjenu vrijednosti nekretnina Dražena Duvnjaka, dipl.ing.građ.</w:t>
      </w:r>
    </w:p>
    <w:p w14:paraId="447CB3C7" w14:textId="627756E5" w:rsidR="00A9334F" w:rsidRPr="00A9334F" w:rsidRDefault="00A9334F" w:rsidP="00A9334F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A9334F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A9334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Pr="00A9334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UPU 3 građevinsko područje naselja N1 – centralno naselje Punat („Službene novine Primorsko-goranske županije“broj 34/10, 40/13, 40/14, 13/16 i 3/20) smještena je u području oznake </w:t>
      </w:r>
      <w:r w:rsidR="0057475B">
        <w:rPr>
          <w:rFonts w:ascii="Garamond" w:eastAsia="Calibri" w:hAnsi="Garamond" w:cs="Times New Roman"/>
          <w:sz w:val="24"/>
          <w:szCs w:val="24"/>
          <w:lang w:val="hr-HR" w:eastAsia="hr-HR"/>
        </w:rPr>
        <w:t>M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>1</w:t>
      </w:r>
      <w:r w:rsidRPr="00A9334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- </w:t>
      </w:r>
      <w:r w:rsidR="0057475B">
        <w:rPr>
          <w:rFonts w:ascii="Garamond" w:eastAsia="Calibri" w:hAnsi="Garamond" w:cs="Times New Roman"/>
          <w:sz w:val="24"/>
          <w:szCs w:val="24"/>
          <w:lang w:val="hr-HR" w:eastAsia="hr-HR"/>
        </w:rPr>
        <w:t>mješovita namjena.</w:t>
      </w:r>
    </w:p>
    <w:p w14:paraId="2FE23111" w14:textId="77777777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138133D8" w14:textId="77777777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5EAE90B3" w14:textId="77777777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14:paraId="69F21BCF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14:paraId="0821CCEA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14:paraId="1A8BFFAE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14:paraId="07DC8557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14:paraId="31F406E4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B919B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Pravo sudjelovanja na Natječaju imaju sve pravne i fizičke osobe koje ispunjavaju uvjete za sudjelovanje na Natječaju.</w:t>
      </w:r>
    </w:p>
    <w:p w14:paraId="4D1C66DC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14:paraId="55A2D69E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14:paraId="63105D4A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cijene. </w:t>
      </w:r>
    </w:p>
    <w:p w14:paraId="05D7BD53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14:paraId="4086B9AC" w14:textId="1E2446A3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uplatiti</w:t>
      </w:r>
      <w:r w:rsidRPr="00F55558">
        <w:rPr>
          <w:rFonts w:ascii="Helvetica" w:eastAsia="Times New Roman" w:hAnsi="Helvetica" w:cs="Times New Roman"/>
          <w:sz w:val="20"/>
          <w:szCs w:val="20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jamstveni polog u visini od 10% od početne (natječajne) cijene u korist Proračuna Općine Punat na račun IBAN HR8724020061836000009 s pozivom na broj  68 7757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Polog za sudjelovanje na natječaju za kupnju nekretnin</w:t>
      </w:r>
      <w:r w:rsidR="006F1C77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30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57475B">
        <w:rPr>
          <w:rFonts w:ascii="Garamond" w:eastAsia="Times New Roman" w:hAnsi="Garamond" w:cs="Times New Roman"/>
          <w:sz w:val="24"/>
          <w:szCs w:val="24"/>
          <w:lang w:val="hr-HR" w:eastAsia="hr-HR"/>
        </w:rPr>
        <w:t>studenoga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u 15,00 sati.</w:t>
      </w:r>
    </w:p>
    <w:p w14:paraId="0B8DCEE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14:paraId="5A466DF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F4BF7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14:paraId="7A614CC8" w14:textId="7DBAAD19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, u roku od 8 (osam) dana od dana izbora najboljeg ponuditelja te u istom roku pristupiti sklapanju ugovora o kupoprodaji.</w:t>
      </w:r>
    </w:p>
    <w:p w14:paraId="01CB82BB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299FF1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14:paraId="3CE9B3CC" w14:textId="70BAEEAD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natječaja, kao i trošak procjene nekretnina te je dokaz o uplati troškova preduvjet zaključenju ugovora o kupoprodaji nekretnin</w:t>
      </w:r>
      <w:r w:rsidR="00906598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CA36B61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8C6DC9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14:paraId="7C5C8DBC" w14:textId="08FB9480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</w:t>
      </w:r>
      <w:r w:rsidR="00992FB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14:paraId="05B65DB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14:paraId="4035BEB2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14:paraId="68E1999D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14:paraId="31CF0BE7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14:paraId="6F087E06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3D7959B" w14:textId="653AA85F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F55558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(osmi) dan od dana objave obavijesti o natječaju u „Novom listu“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15,00 sati neovisno o načinu dostave. Obavijest o raspisanom natječaju objavit će se u „Novom listu“ dana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3F0B62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22. studenoga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2020. godine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koje pristignu nakon 15,00 sati 30.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2722D8">
        <w:rPr>
          <w:rFonts w:ascii="Garamond" w:eastAsia="Times New Roman" w:hAnsi="Garamond" w:cs="Times New Roman"/>
          <w:sz w:val="24"/>
          <w:szCs w:val="24"/>
          <w:lang w:val="hr-HR" w:eastAsia="hr-HR"/>
        </w:rPr>
        <w:t>s</w:t>
      </w:r>
      <w:r w:rsidR="00B56E5B">
        <w:rPr>
          <w:rFonts w:ascii="Garamond" w:eastAsia="Times New Roman" w:hAnsi="Garamond" w:cs="Times New Roman"/>
          <w:sz w:val="24"/>
          <w:szCs w:val="24"/>
          <w:lang w:val="hr-HR" w:eastAsia="hr-HR"/>
        </w:rPr>
        <w:t>tudenoga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bez obzira na način dostave smatraju se zakašnjelima.</w:t>
      </w:r>
    </w:p>
    <w:p w14:paraId="709324A9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7F260ED" w14:textId="1F1C5CE4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 izbor ponuda obavit će se </w:t>
      </w:r>
      <w:r w:rsidR="00250F5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1. prosinca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u 12:00 sati u prostorijama Općine Punat. </w:t>
      </w:r>
    </w:p>
    <w:p w14:paraId="087D55EB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Nepotpune ponude i ponude podnesene izvan utvrđenog roka neće se razmatrati.</w:t>
      </w:r>
    </w:p>
    <w:p w14:paraId="4B55C87A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4F8BB53" w14:textId="4CD20487" w:rsidR="00F55558" w:rsidRPr="00AE475E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Općina Punat zadržava pravo ne izabrati niti jednu ponudu, odnosno poništiti natječaj u cijelosti u svako doba bez obrazloženja. Konačnu odluku o prodaji nekretnin</w:t>
      </w:r>
      <w:r w:rsidR="00376786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 ovom natječaju donosi </w:t>
      </w:r>
      <w:r w:rsidR="00AE475E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</w:t>
      </w:r>
      <w:r w:rsidR="00B56E5B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4537322C" w14:textId="77777777" w:rsidR="00F55558" w:rsidRPr="00AE475E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A014643" w14:textId="3DB92206" w:rsidR="00F55558" w:rsidRDefault="00F55558" w:rsidP="002534AE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 </w:t>
      </w:r>
    </w:p>
    <w:p w14:paraId="025B2171" w14:textId="77777777" w:rsidR="00F174C9" w:rsidRPr="00F55558" w:rsidRDefault="00F174C9" w:rsidP="002534AE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1DC052DA" w14:textId="48FF322B" w:rsidR="00E26DAB" w:rsidRPr="000B152C" w:rsidRDefault="00E53C96" w:rsidP="000B152C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</w:t>
      </w:r>
      <w:bookmarkStart w:id="0" w:name="_GoBack"/>
      <w:bookmarkEnd w:id="0"/>
      <w:r w:rsidR="00F174C9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</w:t>
      </w:r>
      <w:r w:rsidR="00F55558"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Marinko </w:t>
      </w:r>
      <w:proofErr w:type="spellStart"/>
      <w:r w:rsidR="00F55558"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Žic</w:t>
      </w: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</w:t>
      </w:r>
      <w:proofErr w:type="spellEnd"/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.</w:t>
      </w:r>
    </w:p>
    <w:sectPr w:rsidR="00E26DAB" w:rsidRPr="000B152C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8"/>
    <w:rsid w:val="00046AC8"/>
    <w:rsid w:val="00073D08"/>
    <w:rsid w:val="000A34F2"/>
    <w:rsid w:val="000B152C"/>
    <w:rsid w:val="000D609E"/>
    <w:rsid w:val="0010378C"/>
    <w:rsid w:val="0016533C"/>
    <w:rsid w:val="001C329F"/>
    <w:rsid w:val="00233057"/>
    <w:rsid w:val="00250F54"/>
    <w:rsid w:val="002534AE"/>
    <w:rsid w:val="002722D8"/>
    <w:rsid w:val="002D38B1"/>
    <w:rsid w:val="003746B9"/>
    <w:rsid w:val="00376786"/>
    <w:rsid w:val="00382914"/>
    <w:rsid w:val="003F0B62"/>
    <w:rsid w:val="00460065"/>
    <w:rsid w:val="0051499A"/>
    <w:rsid w:val="0057475B"/>
    <w:rsid w:val="005B25FC"/>
    <w:rsid w:val="006A05B2"/>
    <w:rsid w:val="006E3F31"/>
    <w:rsid w:val="006F1C77"/>
    <w:rsid w:val="007F1F5F"/>
    <w:rsid w:val="00805D6C"/>
    <w:rsid w:val="008C19C8"/>
    <w:rsid w:val="00906598"/>
    <w:rsid w:val="009904FA"/>
    <w:rsid w:val="00992FB3"/>
    <w:rsid w:val="009E51D0"/>
    <w:rsid w:val="00A0734B"/>
    <w:rsid w:val="00A660EC"/>
    <w:rsid w:val="00A9334F"/>
    <w:rsid w:val="00AE475E"/>
    <w:rsid w:val="00B46C06"/>
    <w:rsid w:val="00B525B3"/>
    <w:rsid w:val="00B56E5B"/>
    <w:rsid w:val="00C3639A"/>
    <w:rsid w:val="00C854E9"/>
    <w:rsid w:val="00CB69A9"/>
    <w:rsid w:val="00CF720F"/>
    <w:rsid w:val="00DA1438"/>
    <w:rsid w:val="00DD74A5"/>
    <w:rsid w:val="00E53C96"/>
    <w:rsid w:val="00EF535A"/>
    <w:rsid w:val="00F174C9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2020-04-24T06:43:00Z</cp:lastPrinted>
  <dcterms:created xsi:type="dcterms:W3CDTF">2020-11-20T12:10:00Z</dcterms:created>
  <dcterms:modified xsi:type="dcterms:W3CDTF">2020-11-20T12:10:00Z</dcterms:modified>
</cp:coreProperties>
</file>